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35580" w14:textId="08AFDB59" w:rsidR="000C57D4" w:rsidRPr="000C57D4" w:rsidRDefault="000C57D4" w:rsidP="000C57D4">
      <w:pPr>
        <w:jc w:val="center"/>
        <w:rPr>
          <w:b/>
          <w:bCs/>
          <w:sz w:val="28"/>
          <w:szCs w:val="28"/>
          <w:lang w:val="en-US"/>
        </w:rPr>
      </w:pPr>
      <w:r w:rsidRPr="000C57D4">
        <w:rPr>
          <w:b/>
          <w:bCs/>
          <w:sz w:val="28"/>
          <w:szCs w:val="28"/>
          <w:lang w:val="en-US"/>
        </w:rPr>
        <w:t>CERTIFICATE COURSE ON RURAL BANKING OPERATIONS</w:t>
      </w:r>
    </w:p>
    <w:p w14:paraId="21BCC72E" w14:textId="77777777" w:rsidR="00EA59C8" w:rsidRDefault="00EA59C8" w:rsidP="00EA59C8">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2B254F2B" w14:textId="77777777" w:rsidR="000C57D4" w:rsidRDefault="000C57D4">
      <w:pPr>
        <w:rPr>
          <w:b/>
          <w:bCs/>
          <w:lang w:val="en-US"/>
        </w:rPr>
      </w:pPr>
    </w:p>
    <w:p w14:paraId="1482E1E6" w14:textId="66CC7C36" w:rsidR="00534A4E" w:rsidRPr="002516EE" w:rsidRDefault="00534A4E"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RBI/2019-20/10</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FIDD.CO.LBS.BC.No.06/02.01.001/2019-20</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July 2, 2019</w:t>
      </w:r>
    </w:p>
    <w:p w14:paraId="7C20F01F" w14:textId="41A46BA3" w:rsidR="00534A4E" w:rsidRPr="004F2216" w:rsidRDefault="00534A4E" w:rsidP="00534A4E">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Chairmen/ Managing Directors/ Chief Executive Officers</w:t>
      </w:r>
      <w:r w:rsidR="002516EE">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SLBC/ UTLBC Convenor Banks / Lead Banks</w:t>
      </w:r>
    </w:p>
    <w:p w14:paraId="62A54F7F" w14:textId="77777777" w:rsidR="00534A4E" w:rsidRPr="004F2216" w:rsidRDefault="00534A4E" w:rsidP="00534A4E">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MASTER CIRCULAR – Lead Bank Scheme</w:t>
      </w:r>
    </w:p>
    <w:p w14:paraId="7AE79965" w14:textId="77777777" w:rsidR="00534A4E" w:rsidRPr="004F2216" w:rsidRDefault="00534A4E" w:rsidP="00534A4E">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Reserve Bank of India has issued a number of guidelines/instructions on Lead Bank Scheme from time to time. This </w:t>
      </w:r>
      <w:hyperlink r:id="rId6" w:anchor="MC1" w:history="1">
        <w:r w:rsidRPr="004F2216">
          <w:rPr>
            <w:rFonts w:ascii="Arial" w:eastAsia="Times New Roman" w:hAnsi="Arial" w:cs="Arial"/>
            <w:color w:val="0000FF"/>
            <w:sz w:val="20"/>
            <w:szCs w:val="20"/>
            <w:u w:val="single"/>
            <w:lang w:eastAsia="en-IN"/>
          </w:rPr>
          <w:t>Master Circular</w:t>
        </w:r>
      </w:hyperlink>
      <w:r w:rsidRPr="004F2216">
        <w:rPr>
          <w:rFonts w:ascii="Arial" w:eastAsia="Times New Roman" w:hAnsi="Arial" w:cs="Arial"/>
          <w:color w:val="000000"/>
          <w:sz w:val="20"/>
          <w:szCs w:val="20"/>
          <w:lang w:eastAsia="en-IN"/>
        </w:rPr>
        <w:t> consolidates the relevant guidelines/instructions issued by Reserve Bank of India on Lead Bank Scheme up to June 30, 2019 </w:t>
      </w:r>
    </w:p>
    <w:p w14:paraId="21F4A4DD" w14:textId="77777777" w:rsidR="00534A4E" w:rsidRDefault="00534A4E" w:rsidP="00534A4E">
      <w:r>
        <w:t>For details, pl see the link given below:</w:t>
      </w:r>
    </w:p>
    <w:p w14:paraId="41657ECA" w14:textId="77777777" w:rsidR="00534A4E" w:rsidRDefault="003F25F1" w:rsidP="00534A4E">
      <w:hyperlink r:id="rId7" w:history="1">
        <w:r w:rsidR="00534A4E">
          <w:rPr>
            <w:rStyle w:val="Hyperlink"/>
          </w:rPr>
          <w:t>https://rbidocs.rbi.org.in/rdocs/notification/PDFs/10MCA66C09ECD99148DF8ABF4C39E7901BFE.PDF</w:t>
        </w:r>
      </w:hyperlink>
    </w:p>
    <w:p w14:paraId="365D8F3F" w14:textId="77777777" w:rsidR="002516EE" w:rsidRDefault="002516EE"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w:t>
      </w:r>
    </w:p>
    <w:p w14:paraId="56D3E03F" w14:textId="17F42450" w:rsidR="00CC4E32" w:rsidRPr="002516EE" w:rsidRDefault="00CC4E32"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RBI/2019-20/04</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FIDD.GSSD.CO.BC.No.02/09.01.01/2019-20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July 01, 2019</w:t>
      </w:r>
    </w:p>
    <w:p w14:paraId="194EB093" w14:textId="39E79F12" w:rsidR="00CC4E32" w:rsidRPr="004F2216" w:rsidRDefault="00CC4E32" w:rsidP="00CC4E3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The Chairman/ Managing Director &amp; CEO</w:t>
      </w:r>
      <w:r w:rsidR="002516EE">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All Scheduled Commercial Banks &amp;</w:t>
      </w:r>
      <w:r w:rsidR="002516EE">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Small Finance Banks</w:t>
      </w:r>
    </w:p>
    <w:p w14:paraId="64DE2E62" w14:textId="77777777" w:rsidR="00CC4E32" w:rsidRPr="004F2216"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 xml:space="preserve">Master Circular – Deendayal </w:t>
      </w:r>
      <w:proofErr w:type="spellStart"/>
      <w:r w:rsidRPr="004F2216">
        <w:rPr>
          <w:rFonts w:ascii="Arial" w:eastAsia="Times New Roman" w:hAnsi="Arial" w:cs="Arial"/>
          <w:b/>
          <w:bCs/>
          <w:color w:val="000000"/>
          <w:sz w:val="20"/>
          <w:szCs w:val="20"/>
          <w:lang w:eastAsia="en-IN"/>
        </w:rPr>
        <w:t>Antyodaya</w:t>
      </w:r>
      <w:proofErr w:type="spellEnd"/>
      <w:r w:rsidRPr="004F2216">
        <w:rPr>
          <w:rFonts w:ascii="Arial" w:eastAsia="Times New Roman" w:hAnsi="Arial" w:cs="Arial"/>
          <w:b/>
          <w:bCs/>
          <w:color w:val="000000"/>
          <w:sz w:val="20"/>
          <w:szCs w:val="20"/>
          <w:lang w:eastAsia="en-IN"/>
        </w:rPr>
        <w:t xml:space="preserve"> Yojana - National Rural Livelihoods Mission (DAY-NRLM)</w:t>
      </w:r>
    </w:p>
    <w:p w14:paraId="3AA6512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 Background</w:t>
      </w:r>
    </w:p>
    <w:p w14:paraId="1983053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1.1 The Ministry of Rural Development, Government of India launched a new programme known as National Rural Livelihoods Mission (NRLM) by restructuring and replacing the </w:t>
      </w:r>
      <w:proofErr w:type="spellStart"/>
      <w:r w:rsidRPr="003B7CEA">
        <w:rPr>
          <w:rFonts w:ascii="Arial" w:eastAsia="Times New Roman" w:hAnsi="Arial" w:cs="Arial"/>
          <w:color w:val="000000"/>
          <w:sz w:val="20"/>
          <w:szCs w:val="20"/>
          <w:lang w:eastAsia="en-IN"/>
        </w:rPr>
        <w:t>Swarnjayanti</w:t>
      </w:r>
      <w:proofErr w:type="spellEnd"/>
      <w:r w:rsidRPr="003B7CEA">
        <w:rPr>
          <w:rFonts w:ascii="Arial" w:eastAsia="Times New Roman" w:hAnsi="Arial" w:cs="Arial"/>
          <w:color w:val="000000"/>
          <w:sz w:val="20"/>
          <w:szCs w:val="20"/>
          <w:lang w:eastAsia="en-IN"/>
        </w:rPr>
        <w:t xml:space="preserve"> Gram </w:t>
      </w:r>
      <w:proofErr w:type="spellStart"/>
      <w:r w:rsidRPr="003B7CEA">
        <w:rPr>
          <w:rFonts w:ascii="Arial" w:eastAsia="Times New Roman" w:hAnsi="Arial" w:cs="Arial"/>
          <w:color w:val="000000"/>
          <w:sz w:val="20"/>
          <w:szCs w:val="20"/>
          <w:lang w:eastAsia="en-IN"/>
        </w:rPr>
        <w:t>Swarozgar</w:t>
      </w:r>
      <w:proofErr w:type="spellEnd"/>
      <w:r w:rsidRPr="003B7CEA">
        <w:rPr>
          <w:rFonts w:ascii="Arial" w:eastAsia="Times New Roman" w:hAnsi="Arial" w:cs="Arial"/>
          <w:color w:val="000000"/>
          <w:sz w:val="20"/>
          <w:szCs w:val="20"/>
          <w:lang w:eastAsia="en-IN"/>
        </w:rPr>
        <w:t xml:space="preserve"> Yojana (SGSY) scheme with effect from April 01, 2013. Detailed ‘Guidelines’ were circulated to all Scheduled Commercial Banks including Regional Rural Banks vide </w:t>
      </w:r>
      <w:hyperlink r:id="rId8" w:tgtFrame="_blank" w:history="1">
        <w:r w:rsidRPr="003B7CEA">
          <w:rPr>
            <w:rFonts w:ascii="Arial" w:eastAsia="Times New Roman" w:hAnsi="Arial" w:cs="Arial"/>
            <w:color w:val="0000FF"/>
            <w:sz w:val="20"/>
            <w:szCs w:val="20"/>
            <w:u w:val="single"/>
            <w:lang w:eastAsia="en-IN"/>
          </w:rPr>
          <w:t>RBI circular RPCD.GSSD.CO.No.81/09.01.03/2012-13 dated June 27, 2013</w:t>
        </w:r>
      </w:hyperlink>
      <w:r w:rsidRPr="003B7CEA">
        <w:rPr>
          <w:rFonts w:ascii="Arial" w:eastAsia="Times New Roman" w:hAnsi="Arial" w:cs="Arial"/>
          <w:color w:val="000000"/>
          <w:sz w:val="20"/>
          <w:szCs w:val="20"/>
          <w:lang w:eastAsia="en-IN"/>
        </w:rPr>
        <w:t xml:space="preserve">. NRLM was renamed as Deendayal </w:t>
      </w:r>
      <w:proofErr w:type="spellStart"/>
      <w:r w:rsidRPr="003B7CEA">
        <w:rPr>
          <w:rFonts w:ascii="Arial" w:eastAsia="Times New Roman" w:hAnsi="Arial" w:cs="Arial"/>
          <w:color w:val="000000"/>
          <w:sz w:val="20"/>
          <w:szCs w:val="20"/>
          <w:lang w:eastAsia="en-IN"/>
        </w:rPr>
        <w:t>Antyodaya</w:t>
      </w:r>
      <w:proofErr w:type="spellEnd"/>
      <w:r w:rsidRPr="003B7CEA">
        <w:rPr>
          <w:rFonts w:ascii="Arial" w:eastAsia="Times New Roman" w:hAnsi="Arial" w:cs="Arial"/>
          <w:color w:val="000000"/>
          <w:sz w:val="20"/>
          <w:szCs w:val="20"/>
          <w:lang w:eastAsia="en-IN"/>
        </w:rPr>
        <w:t xml:space="preserve"> Yojana – National Livelihoods Mission (DAY-NRLM) with effect from March 29, 2016.</w:t>
      </w:r>
    </w:p>
    <w:p w14:paraId="526B67C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1.2 DAY-NRLM is the flagship program of Govt. of India for promoting poverty reduction through building strong institutions of the poor, particularly women, and enabling these institutions to access a range of financial services and livelihood services. DAY-NRLM is designed to be a highly intensive program and focuses on intensive application of human and material resources in order to mobilize the poor into functionally effective community owned institutions, promote their financial inclusion and strengthen their livelihoods. DAY-NRLM complements these institutional platforms of the poor with services that include financial and capital services, production and productivity enhancement services, technology, knowledge, skills and inputs, market linkage, etc. The community institutions also offer a platform for convergence and partnerships with various stakeholders by building environment for the poor to access their rights and entitlements and public service.</w:t>
      </w:r>
    </w:p>
    <w:p w14:paraId="7D79B0A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1.3 A women’s Self-Help Group (SHG), coming together on the basis of mutual affinity is the primary building block of the DAY-NRLM community institutional design. DAY-NRLM focuses on building, nurturing and strengthening the institutions of the poor women, including the SHGs and their Federations at village and higher levels. In addition, DAY- NRLM promotes livelihood institutions of rural poor. The mission provides a continuous hand-holding support to the institutions of poor for a period of </w:t>
      </w:r>
      <w:r w:rsidRPr="003B7CEA">
        <w:rPr>
          <w:rFonts w:ascii="Arial" w:eastAsia="Times New Roman" w:hAnsi="Arial" w:cs="Arial"/>
          <w:color w:val="000000"/>
          <w:sz w:val="20"/>
          <w:szCs w:val="20"/>
          <w:lang w:eastAsia="en-IN"/>
        </w:rPr>
        <w:lastRenderedPageBreak/>
        <w:t>5 – 7 years till they come out of abject poverty. The community institutional architecture put in place under DAY- NRLM will provide support for a much longer duration and of a greater intensity.</w:t>
      </w:r>
    </w:p>
    <w:p w14:paraId="407B1C0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 The support from DAY-NRLM includes all round capacity building of the SHGs ensuring that the group functions effectively on all issues concerning their members, financial management, providing them with initial fund support to address vulnerabilities and high cost indebtedness, formation and nurturing of SHG federations, making the federations evolve as strong support organizations, making livelihoods of the poor sustainable, formation and nurturing of livelihoods organizations, skill development of the rural youth to start their own enterprises or take up jobs in organized sector, enabling these institutions to access their entitlements from the key line departments, etc.</w:t>
      </w:r>
    </w:p>
    <w:p w14:paraId="4DEF5A9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1.5 The implementation of DAY-NRLM has been in a Mission Mode since April, 2013. DAY-NRLM adopts a demand driven approach, enabling the States to formulate their own State specific poverty reduction action plans. DAY-NRLM enables the State rural livelihoods missions to professionalize their human resources at State, district and block level. The State missions are capacitated to deliver a wide range of quality services to the rural poor. DAY-NRLM emphasizes continuous capacity building, imparting requisite skills and creating linkages with livelihoods opportunities for the poor, including those emerging in the organized sector, and monitoring against targets of poverty reduction outcomes. The blocks and districts in which all the components of DAY-NRLM will be implemented, either through the SRLMs or partner institutions or NGOs, will be the intensive blocks and districts, whereas remaining will be non-intensive blocks and districts. The selection of intensive districts are done by the states based on the demographic vulnerabilities. It will be rolled out in a phased manner over the next 7 - 8 years. All blocks in the country will become intensive blocks over time. The key features of DAY-NRLM have been furnished in </w:t>
      </w:r>
      <w:hyperlink r:id="rId9" w:anchor="AN1" w:history="1">
        <w:r w:rsidRPr="003B7CEA">
          <w:rPr>
            <w:rFonts w:ascii="Arial" w:eastAsia="Times New Roman" w:hAnsi="Arial" w:cs="Arial"/>
            <w:color w:val="0000FF"/>
            <w:sz w:val="20"/>
            <w:szCs w:val="20"/>
            <w:u w:val="single"/>
            <w:lang w:eastAsia="en-IN"/>
          </w:rPr>
          <w:t>Annex I</w:t>
        </w:r>
      </w:hyperlink>
      <w:r w:rsidRPr="003B7CEA">
        <w:rPr>
          <w:rFonts w:ascii="Arial" w:eastAsia="Times New Roman" w:hAnsi="Arial" w:cs="Arial"/>
          <w:color w:val="000000"/>
          <w:sz w:val="20"/>
          <w:szCs w:val="20"/>
          <w:lang w:eastAsia="en-IN"/>
        </w:rPr>
        <w:t>.</w:t>
      </w:r>
    </w:p>
    <w:p w14:paraId="72740E9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2. Women SHGs and their Federations</w:t>
      </w:r>
    </w:p>
    <w:p w14:paraId="6961146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2.1 Women SHGs under DAY-NRLM consist of 10-20 persons. In case of special SHGs i.e. groups in the difficult areas, groups with disabled persons, and groups formed in remote tribal areas, this number may be a minimum of 5 persons.</w:t>
      </w:r>
    </w:p>
    <w:p w14:paraId="4C592B0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2.2 DAY-NRLM promotes affinity-based women Self Help Groups (SHGs).</w:t>
      </w:r>
    </w:p>
    <w:p w14:paraId="13D59E4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2.3 Only for groups to be formed with Persons with disabilities, and other special categories like elders, trans genders, DAY-NRLM will have both men and women in the Self-Help Groups.</w:t>
      </w:r>
    </w:p>
    <w:p w14:paraId="05264D6F"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2.4 SHG is an informal group and registration under any Societies Act, State cooperative Act or a partnership firm is not mandatory vide Circular </w:t>
      </w:r>
      <w:proofErr w:type="spellStart"/>
      <w:r w:rsidRPr="003B7CEA">
        <w:rPr>
          <w:rFonts w:ascii="Arial" w:eastAsia="Times New Roman" w:hAnsi="Arial" w:cs="Arial"/>
          <w:color w:val="000000"/>
          <w:sz w:val="20"/>
          <w:szCs w:val="20"/>
          <w:lang w:eastAsia="en-IN"/>
        </w:rPr>
        <w:t>RPCD.No.Plan</w:t>
      </w:r>
      <w:proofErr w:type="spellEnd"/>
      <w:r w:rsidRPr="003B7CEA">
        <w:rPr>
          <w:rFonts w:ascii="Arial" w:eastAsia="Times New Roman" w:hAnsi="Arial" w:cs="Arial"/>
          <w:color w:val="000000"/>
          <w:sz w:val="20"/>
          <w:szCs w:val="20"/>
          <w:lang w:eastAsia="en-IN"/>
        </w:rPr>
        <w:t xml:space="preserve"> BC.13/PL-09.22/90-91 dated July 24th, 1991. However, Federations of Self Help Groups formed at Village, Gram Panchayat, Cluster or higher level may be registered under appropriate acts prevailing in their States.</w:t>
      </w:r>
    </w:p>
    <w:p w14:paraId="297558E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Financial Assistance to the SHGs</w:t>
      </w:r>
    </w:p>
    <w:p w14:paraId="15E0EEB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3. Revolving Fund (RF):</w:t>
      </w:r>
      <w:r w:rsidRPr="003B7CEA">
        <w:rPr>
          <w:rFonts w:ascii="Arial" w:eastAsia="Times New Roman" w:hAnsi="Arial" w:cs="Arial"/>
          <w:color w:val="000000"/>
          <w:sz w:val="20"/>
          <w:szCs w:val="20"/>
          <w:lang w:eastAsia="en-IN"/>
        </w:rPr>
        <w:t> DAY-NRLM would provide Revolving Fund (RF) support to SHGs in existence for a minimum period of 3/6 months and follow the norms of good SHGs, i.e. they follow ‘</w:t>
      </w:r>
      <w:proofErr w:type="spellStart"/>
      <w:r w:rsidRPr="003B7CEA">
        <w:rPr>
          <w:rFonts w:ascii="Arial" w:eastAsia="Times New Roman" w:hAnsi="Arial" w:cs="Arial"/>
          <w:color w:val="000000"/>
          <w:sz w:val="20"/>
          <w:szCs w:val="20"/>
          <w:lang w:eastAsia="en-IN"/>
        </w:rPr>
        <w:t>Panchasutra</w:t>
      </w:r>
      <w:proofErr w:type="spellEnd"/>
      <w:r w:rsidRPr="003B7CEA">
        <w:rPr>
          <w:rFonts w:ascii="Arial" w:eastAsia="Times New Roman" w:hAnsi="Arial" w:cs="Arial"/>
          <w:color w:val="000000"/>
          <w:sz w:val="20"/>
          <w:szCs w:val="20"/>
          <w:lang w:eastAsia="en-IN"/>
        </w:rPr>
        <w:t>’ – regular meetings, regular savings, regular internal lending, regular recoveries and maintenance of proper books of accounts. Only such SHGs that have not received any RF earlier will be provided with RF, as corpus, with a minimum of ₹10,000 and up to a maximum of ₹15,000 per SHG. The purpose of RF is to strengthen their institutional and financial management capacity and build a good credit history within the group.</w:t>
      </w:r>
    </w:p>
    <w:p w14:paraId="71319C1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4. Capital Subsidy has been discontinued under DAY-NRLM:</w:t>
      </w:r>
    </w:p>
    <w:p w14:paraId="173D38F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No Capital Subsidy will be sanctioned to any SHG from the date of implementation of DAY-NRLM.</w:t>
      </w:r>
    </w:p>
    <w:p w14:paraId="22BFB1F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5. Community Investment Support Fund (CIF)</w:t>
      </w:r>
    </w:p>
    <w:p w14:paraId="2F1A9D0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CIF will be provided to the SHGs in the intensive blocks, routed through the Village level/ Cluster level Federations, to be maintained in perpetuity by the Federations. The CIF will be used, by the Federations, to advance loans to the SHGs and/or to undertake the common/collective socio-economic activities.</w:t>
      </w:r>
    </w:p>
    <w:p w14:paraId="2B07090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6. Introduction of Interest subvention:</w:t>
      </w:r>
    </w:p>
    <w:p w14:paraId="47F1680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DAY-NRLM has a provision for interest subvention, to cover the difference between the Lending Rate of the banks and 7%, on all credit from the banks/ financial institutions availed by women SHGs, for a maximum of ₹ 300,000/- per SHG. This will be available across the country in two ways:</w:t>
      </w:r>
    </w:p>
    <w:p w14:paraId="1331516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w:t>
      </w: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In 250 identified districts, banks will lend to the women SHGs @7% up to an aggregated loan amount of ₹ 300,000/-.The SHGs will also get additional interest subvention of 3% on prompt payment, reducing the effective rate of interest to 4%.</w:t>
      </w:r>
    </w:p>
    <w:p w14:paraId="660D9DD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 In the remaining districts, the banks will lend at their respective lending rate applicable to SHGs. All women SHGs under DAY– NRLM, will be eligible for interest subvention on prompt payment to the extent of difference between the lending rates and 7% for the loan up to Rs. 300,000/- subject to maximum of 5.5 % or as prescribed by the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This part of the scheme will be operationalized by SRLMs.</w:t>
      </w:r>
    </w:p>
    <w:p w14:paraId="336DE3E7" w14:textId="77777777" w:rsidR="00CC4E32" w:rsidRPr="003B7CEA" w:rsidRDefault="00CC4E32" w:rsidP="00CC4E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Salient features of the Scheme are enclosed in </w:t>
      </w:r>
      <w:hyperlink r:id="rId10" w:anchor="AN2" w:history="1">
        <w:r w:rsidRPr="003B7CEA">
          <w:rPr>
            <w:rFonts w:ascii="Arial" w:eastAsia="Times New Roman" w:hAnsi="Arial" w:cs="Arial"/>
            <w:color w:val="0000FF"/>
            <w:sz w:val="20"/>
            <w:szCs w:val="20"/>
            <w:u w:val="single"/>
            <w:lang w:eastAsia="en-IN"/>
          </w:rPr>
          <w:t>Annex II</w:t>
        </w:r>
      </w:hyperlink>
      <w:r w:rsidRPr="003B7CEA">
        <w:rPr>
          <w:rFonts w:ascii="Arial" w:eastAsia="Times New Roman" w:hAnsi="Arial" w:cs="Arial"/>
          <w:color w:val="000000"/>
          <w:sz w:val="20"/>
          <w:szCs w:val="20"/>
          <w:lang w:eastAsia="en-IN"/>
        </w:rPr>
        <w:t>.</w:t>
      </w:r>
    </w:p>
    <w:p w14:paraId="19CCECBD" w14:textId="77777777" w:rsidR="00CC4E32" w:rsidRPr="003B7CEA" w:rsidRDefault="00CC4E32" w:rsidP="00CC4E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list of 250 identified districts is as per </w:t>
      </w:r>
      <w:hyperlink r:id="rId11" w:anchor="AN3" w:history="1">
        <w:r w:rsidRPr="003B7CEA">
          <w:rPr>
            <w:rFonts w:ascii="Arial" w:eastAsia="Times New Roman" w:hAnsi="Arial" w:cs="Arial"/>
            <w:color w:val="0000FF"/>
            <w:sz w:val="20"/>
            <w:szCs w:val="20"/>
            <w:u w:val="single"/>
            <w:lang w:eastAsia="en-IN"/>
          </w:rPr>
          <w:t>Annex III</w:t>
        </w:r>
      </w:hyperlink>
      <w:r w:rsidRPr="003B7CEA">
        <w:rPr>
          <w:rFonts w:ascii="Arial" w:eastAsia="Times New Roman" w:hAnsi="Arial" w:cs="Arial"/>
          <w:color w:val="000000"/>
          <w:sz w:val="20"/>
          <w:szCs w:val="20"/>
          <w:lang w:eastAsia="en-IN"/>
        </w:rPr>
        <w:t>,</w:t>
      </w:r>
    </w:p>
    <w:p w14:paraId="65A2BDA3" w14:textId="77777777" w:rsidR="00CC4E32" w:rsidRPr="003B7CEA" w:rsidRDefault="00CC4E32" w:rsidP="00CC4E3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Interest subvention will be communicated separately to the banks by GOI/RBI.</w:t>
      </w:r>
    </w:p>
    <w:p w14:paraId="2F52122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 Role of banks:</w:t>
      </w:r>
    </w:p>
    <w:p w14:paraId="7A8EFFE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7.1 Opening of Savings accounts:</w:t>
      </w:r>
    </w:p>
    <w:p w14:paraId="5AFC921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7.1.1 Opening of Savings account of SHGs:</w:t>
      </w:r>
      <w:r w:rsidRPr="003B7CEA">
        <w:rPr>
          <w:rFonts w:ascii="Arial" w:eastAsia="Times New Roman" w:hAnsi="Arial" w:cs="Arial"/>
          <w:color w:val="000000"/>
          <w:sz w:val="20"/>
          <w:szCs w:val="20"/>
          <w:lang w:eastAsia="en-IN"/>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14:paraId="267E682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w:t>
      </w: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Know Your Customer (KYC) verification of only the office bearers shall suffice for opening of savings bank account.</w:t>
      </w:r>
    </w:p>
    <w:p w14:paraId="5A6DB50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 Banks should not insist on Permanent Account Number (PAN) of SHGs at the time of opening of account or transactions and may accept declaration in Form No 60 as may be required.</w:t>
      </w:r>
    </w:p>
    <w:p w14:paraId="3DC6646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(iii) For KYC verification pertaining to SHG members, instructions of Department of Banking Regulation in Master Direction on KYC (dated February 25, 2016, updated as on May 29, 2019) (Part VI – Paragraph 43) shall be adhered to while completing Customer Due Diligence (CDD)</w:t>
      </w:r>
      <w:hyperlink r:id="rId12" w:anchor="F1" w:history="1">
        <w:r w:rsidRPr="003B7CEA">
          <w:rPr>
            <w:rFonts w:ascii="Arial" w:eastAsia="Times New Roman" w:hAnsi="Arial" w:cs="Arial"/>
            <w:color w:val="0000FF"/>
            <w:sz w:val="15"/>
            <w:szCs w:val="15"/>
            <w:u w:val="single"/>
            <w:vertAlign w:val="superscript"/>
            <w:lang w:eastAsia="en-IN"/>
          </w:rPr>
          <w:t>1</w:t>
        </w:r>
      </w:hyperlink>
      <w:r w:rsidRPr="003B7CEA">
        <w:rPr>
          <w:rFonts w:ascii="Arial" w:eastAsia="Times New Roman" w:hAnsi="Arial" w:cs="Arial"/>
          <w:color w:val="000000"/>
          <w:sz w:val="20"/>
          <w:szCs w:val="20"/>
          <w:lang w:eastAsia="en-IN"/>
        </w:rPr>
        <w:t> process. Accordingly, the current instructions under Simplified norms for Self Help Groups (SHGs) mention that Customer Due Diligence (CDD)</w:t>
      </w:r>
      <w:hyperlink r:id="rId13" w:anchor="F1" w:history="1">
        <w:r w:rsidRPr="003B7CEA">
          <w:rPr>
            <w:rFonts w:ascii="Arial" w:eastAsia="Times New Roman" w:hAnsi="Arial" w:cs="Arial"/>
            <w:color w:val="0000FF"/>
            <w:sz w:val="15"/>
            <w:szCs w:val="15"/>
            <w:u w:val="single"/>
            <w:vertAlign w:val="superscript"/>
            <w:lang w:eastAsia="en-IN"/>
          </w:rPr>
          <w:t>1</w:t>
        </w:r>
      </w:hyperlink>
      <w:r w:rsidRPr="003B7CEA">
        <w:rPr>
          <w:rFonts w:ascii="Arial" w:eastAsia="Times New Roman" w:hAnsi="Arial" w:cs="Arial"/>
          <w:color w:val="000000"/>
          <w:sz w:val="20"/>
          <w:szCs w:val="20"/>
          <w:lang w:eastAsia="en-IN"/>
        </w:rPr>
        <w:t> of all the members of SHG as mentioned in the above Direction shall not be required while opening the savings bank account of the SHG. CDD of all the office bearers shall suffice. No separate CDD of the members or office bearers shall be necessary at the time of credit linking of SHGs. Opening of savings account of all members with the bank shall not be made a prerequisite for credit linkage of SHGs. Banks are advised to maintain separate Savings and loan account for Self Help Groups.</w:t>
      </w:r>
    </w:p>
    <w:p w14:paraId="7F065FE3"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7.1.2 Opening of Savings account of Federation of SHGs:</w:t>
      </w:r>
      <w:r w:rsidRPr="003B7CEA">
        <w:rPr>
          <w:rFonts w:ascii="Arial" w:eastAsia="Times New Roman" w:hAnsi="Arial" w:cs="Arial"/>
          <w:color w:val="000000"/>
          <w:sz w:val="20"/>
          <w:szCs w:val="20"/>
          <w:lang w:eastAsia="en-IN"/>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will be applicable.</w:t>
      </w:r>
    </w:p>
    <w:p w14:paraId="3299889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lastRenderedPageBreak/>
        <w:t>7.1.3 Transaction in Savings account of SHGs and Federation of SHGs:</w:t>
      </w:r>
      <w:r w:rsidRPr="003B7CEA">
        <w:rPr>
          <w:rFonts w:ascii="Arial" w:eastAsia="Times New Roman" w:hAnsi="Arial" w:cs="Arial"/>
          <w:color w:val="000000"/>
          <w:sz w:val="20"/>
          <w:szCs w:val="20"/>
          <w:lang w:eastAsia="en-IN"/>
        </w:rPr>
        <w:t> SHGs and their federations may be encouraged to transact through their respective saving account on regular basis. To facilitate this, banks are advised to enable transactions in jointly operated savings account of SHGs and their federations with inter-operable facility at retail outlets managed by Business Correspondent Agents. Banks are also advised to extend all such services to SHGs and their federations through Business Correspondent agents permitted vide </w:t>
      </w:r>
      <w:hyperlink r:id="rId14" w:tgtFrame="_blank" w:history="1">
        <w:r w:rsidRPr="003B7CEA">
          <w:rPr>
            <w:rFonts w:ascii="Arial" w:eastAsia="Times New Roman" w:hAnsi="Arial" w:cs="Arial"/>
            <w:color w:val="0000FF"/>
            <w:sz w:val="20"/>
            <w:szCs w:val="20"/>
            <w:u w:val="single"/>
            <w:lang w:eastAsia="en-IN"/>
          </w:rPr>
          <w:t>circular DBOD.No.BAPD.BC.122/22.01.009/2013-14 dated June 24, 2014.</w:t>
        </w:r>
      </w:hyperlink>
    </w:p>
    <w:p w14:paraId="4718FB5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7.2 Lending Norms:</w:t>
      </w:r>
    </w:p>
    <w:p w14:paraId="246E27B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7.2.1 The eligibility criteria for the SHGs to avail loans:</w:t>
      </w:r>
    </w:p>
    <w:p w14:paraId="30F5A644" w14:textId="77777777" w:rsidR="00CC4E32" w:rsidRPr="003B7CEA" w:rsidRDefault="00CC4E32" w:rsidP="00CC4E3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 should be in active existence at least since the last 6 months as per the books of account of SHGs and not from the date of opening of S/B account.</w:t>
      </w:r>
    </w:p>
    <w:p w14:paraId="5AF846EF" w14:textId="77777777" w:rsidR="00CC4E32" w:rsidRPr="003B7CEA" w:rsidRDefault="00CC4E32" w:rsidP="00CC4E3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 should be practicing ‘</w:t>
      </w:r>
      <w:proofErr w:type="spellStart"/>
      <w:r w:rsidRPr="003B7CEA">
        <w:rPr>
          <w:rFonts w:ascii="Arial" w:eastAsia="Times New Roman" w:hAnsi="Arial" w:cs="Arial"/>
          <w:i/>
          <w:iCs/>
          <w:color w:val="000000"/>
          <w:sz w:val="20"/>
          <w:szCs w:val="20"/>
          <w:lang w:eastAsia="en-IN"/>
        </w:rPr>
        <w:t>Panchasutras</w:t>
      </w:r>
      <w:proofErr w:type="spellEnd"/>
      <w:r w:rsidRPr="003B7CEA">
        <w:rPr>
          <w:rFonts w:ascii="Arial" w:eastAsia="Times New Roman" w:hAnsi="Arial" w:cs="Arial"/>
          <w:i/>
          <w:iCs/>
          <w:color w:val="000000"/>
          <w:sz w:val="20"/>
          <w:szCs w:val="20"/>
          <w:lang w:eastAsia="en-IN"/>
        </w:rPr>
        <w:t>’ i.e. </w:t>
      </w:r>
      <w:r w:rsidRPr="003B7CEA">
        <w:rPr>
          <w:rFonts w:ascii="Arial" w:eastAsia="Times New Roman" w:hAnsi="Arial" w:cs="Arial"/>
          <w:color w:val="000000"/>
          <w:sz w:val="20"/>
          <w:szCs w:val="20"/>
          <w:lang w:eastAsia="en-IN"/>
        </w:rPr>
        <w:t>Regular meetings; Regular savings; Regular inter-loaning; Timely repayment; and Up-to-date books of accounts;</w:t>
      </w:r>
    </w:p>
    <w:p w14:paraId="01C61C90" w14:textId="77777777" w:rsidR="00CC4E32" w:rsidRPr="003B7CEA" w:rsidRDefault="00CC4E32" w:rsidP="00CC4E3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Qualified as per grading norms fixed by NABARD. As and when the federations of the SHGs come to existence, the grading exercise can be done by the Federations to support the Banks.</w:t>
      </w:r>
    </w:p>
    <w:p w14:paraId="28427CB5" w14:textId="77777777" w:rsidR="00CC4E32" w:rsidRPr="003B7CEA" w:rsidRDefault="00CC4E32" w:rsidP="00CC4E32">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existing defunct SHGs are also eligible for credit if they are revived and continue to be active for a minimum period of 3 months.</w:t>
      </w:r>
    </w:p>
    <w:p w14:paraId="19B6EEA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7.2.2 Loan Application: It is advised that all banks should use the Common Loan Application Forms recommended by Indian Bank’s Association (IBA) for extending credit facility to SHGs.</w:t>
      </w:r>
    </w:p>
    <w:p w14:paraId="19EEE87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7.2.3 Loan amount:</w:t>
      </w:r>
      <w:r w:rsidRPr="003B7CEA">
        <w:rPr>
          <w:rFonts w:ascii="Arial" w:eastAsia="Times New Roman" w:hAnsi="Arial" w:cs="Arial"/>
          <w:color w:val="000000"/>
          <w:sz w:val="20"/>
          <w:szCs w:val="20"/>
          <w:lang w:eastAsia="en-IN"/>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14:paraId="7D590EF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SHGs can avail either Term Loan (TL) or a Cash Credit Limit (CCL) loan or both based on the need. In case of need, additional loan can be sanctioned even though the previous loan is outstanding.</w:t>
      </w:r>
    </w:p>
    <w:p w14:paraId="5CA035F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amount of credit under different facilities should be as follows:</w:t>
      </w:r>
    </w:p>
    <w:p w14:paraId="0942C73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Cash Credit Limit (CCL):</w:t>
      </w:r>
      <w:r w:rsidRPr="003B7CEA">
        <w:rPr>
          <w:rFonts w:ascii="Arial" w:eastAsia="Times New Roman" w:hAnsi="Arial" w:cs="Arial"/>
          <w:color w:val="000000"/>
          <w:sz w:val="20"/>
          <w:szCs w:val="20"/>
          <w:lang w:eastAsia="en-IN"/>
        </w:rPr>
        <w:t> In case of CCL, banks are advised to sanction minimum loan of ₹ 5 lakhs to each eligible SHGs for a period of 5 years with a yearly drawing power (DP). The drawing power may be enhanced annually based on the repayment performance of the SHG. The drawing power may be calculated as follows:</w:t>
      </w:r>
    </w:p>
    <w:p w14:paraId="61E0EF81" w14:textId="77777777" w:rsidR="00CC4E32" w:rsidRPr="003B7CEA" w:rsidRDefault="00CC4E32" w:rsidP="00CC4E3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First Year: 6 times of the existing corpus or minimum of ₹ 1 lakh whichever is higher.</w:t>
      </w:r>
    </w:p>
    <w:p w14:paraId="0D510AFF" w14:textId="77777777" w:rsidR="00CC4E32" w:rsidRPr="003B7CEA" w:rsidRDefault="00CC4E32" w:rsidP="00CC4E3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Second Year: 8 times of the corpus at the time review/ enhancement or minimum of ₹ 2 lakh, whichever is higher.</w:t>
      </w:r>
    </w:p>
    <w:p w14:paraId="791F9806" w14:textId="77777777" w:rsidR="00CC4E32" w:rsidRPr="003B7CEA" w:rsidRDefault="00CC4E32" w:rsidP="00CC4E3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Third Year: Minimum of ₹ 3 lakhs based on the Micro credit plan prepared by SHG and appraised by the Federations /Support agency and the previous credit history.</w:t>
      </w:r>
    </w:p>
    <w:p w14:paraId="4C1811A5" w14:textId="77777777" w:rsidR="00CC4E32" w:rsidRPr="003B7CEA" w:rsidRDefault="00CC4E32" w:rsidP="00CC4E32">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DP for Fourth Year onwards: Minimum of ₹ 5 lakhs based on the Micro credit plan prepared by SHG and appraised by the Federations /Support agency and the previous credit History.</w:t>
      </w:r>
    </w:p>
    <w:p w14:paraId="5269BD5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Term Loan:</w:t>
      </w:r>
      <w:r w:rsidRPr="003B7CEA">
        <w:rPr>
          <w:rFonts w:ascii="Arial" w:eastAsia="Times New Roman" w:hAnsi="Arial" w:cs="Arial"/>
          <w:color w:val="000000"/>
          <w:sz w:val="20"/>
          <w:szCs w:val="20"/>
          <w:lang w:eastAsia="en-IN"/>
        </w:rPr>
        <w:t> In case of Term Loan, banks are advised to sanction loan amount in doses as mentioned below:</w:t>
      </w:r>
    </w:p>
    <w:p w14:paraId="3D915047" w14:textId="77777777" w:rsidR="00CC4E32" w:rsidRPr="003B7CEA" w:rsidRDefault="00CC4E32" w:rsidP="00CC4E3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First Dose: 6 times of the existing corpus or minimum of ₹ 1 lakh whichever is higher.</w:t>
      </w:r>
    </w:p>
    <w:p w14:paraId="0AC18AF0" w14:textId="77777777" w:rsidR="00CC4E32" w:rsidRPr="003B7CEA" w:rsidRDefault="00CC4E32" w:rsidP="00CC4E3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Second Dose: 8 times of the existing corpus or minimum of ₹ 2 lakh, whichever is higher</w:t>
      </w:r>
    </w:p>
    <w:p w14:paraId="3DFBD62E" w14:textId="77777777" w:rsidR="00CC4E32" w:rsidRPr="003B7CEA" w:rsidRDefault="00CC4E32" w:rsidP="00CC4E3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Third Dose: Minimum of ₹ 3 lakhs based on the Micro credit plan prepared by the SHGs and appraised by the Federations /Support agency and the previous credit history</w:t>
      </w:r>
    </w:p>
    <w:p w14:paraId="01547702" w14:textId="77777777" w:rsidR="00CC4E32" w:rsidRPr="003B7CEA" w:rsidRDefault="00CC4E32" w:rsidP="00CC4E32">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Fourth Dose: Minimum of ₹ 5 lakhs based on the Micro credit plan prepared by the SHGs and appraised by the Federations /Support agency and the previous credit History</w:t>
      </w:r>
    </w:p>
    <w:p w14:paraId="2066487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Banks should take necessary measures to ensure that eligible SHGs are provided with repeat loans. Banks are advised to work with DAY-NRLM to institutionalize a mechanism for online submission of loan application of SHGs for tracking and timely disposal of application.</w:t>
      </w:r>
    </w:p>
    <w:p w14:paraId="0EF6D4A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(Corpus is inclusive of revolving funds, if any, received by that SHG, its own savings, interest earning by SHG from on-lending to its members, income from other sources, and funds from other sources in case of promotion by other institutes/NGOs.)</w:t>
      </w:r>
    </w:p>
    <w:p w14:paraId="2E49AED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7.3 Purpose of loan and repayment:</w:t>
      </w:r>
    </w:p>
    <w:p w14:paraId="5BC5B3A7"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7.3.1 The loan amount will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14:paraId="4A89F6A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7.3.2 In order to facilitate use of loans for augmenting livelihoods of SHG members, it is advised that at least 50% of loans above ₹ 2 lakhs and 75% of loans above ₹ 4 lakhs be used primarily for income generating productive purposes. Micro Credit Plan (MCP) prepared by SHGs would form the basis for determining the purpose and usage of loans.</w:t>
      </w:r>
    </w:p>
    <w:p w14:paraId="29C94DA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7.3.3 Repayment schedule could be as follows:</w:t>
      </w:r>
    </w:p>
    <w:p w14:paraId="2AB59EDF" w14:textId="77777777" w:rsidR="00CC4E32" w:rsidRPr="003B7CEA" w:rsidRDefault="00CC4E32" w:rsidP="00CC4E32">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First year/ first dose of loan will be repaid in 12-18 months in monthly/ quarterly instalments.</w:t>
      </w:r>
    </w:p>
    <w:p w14:paraId="149C8D42" w14:textId="77777777" w:rsidR="00CC4E32" w:rsidRPr="003B7CEA" w:rsidRDefault="00CC4E32" w:rsidP="00CC4E32">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Second year/ Second dose of loan will be repaid in 18-24 months in monthly/ quarterly instalments</w:t>
      </w:r>
    </w:p>
    <w:p w14:paraId="54E3D1F3" w14:textId="77777777" w:rsidR="00CC4E32" w:rsidRPr="003B7CEA" w:rsidRDefault="00CC4E32" w:rsidP="00CC4E32">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Third year/ Third dose of loan will be repaid in 24-36 months in monthly/ quarterly instalments.</w:t>
      </w:r>
    </w:p>
    <w:p w14:paraId="42FA413A" w14:textId="77777777" w:rsidR="00CC4E32" w:rsidRPr="003B7CEA" w:rsidRDefault="00CC4E32" w:rsidP="00CC4E32">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The loan from Fourth year/ Fourth dose onwards has to be repaid between 3-6 years based on the cash flow in monthly/ quarterly </w:t>
      </w:r>
      <w:proofErr w:type="spellStart"/>
      <w:r w:rsidRPr="003B7CEA">
        <w:rPr>
          <w:rFonts w:ascii="Arial" w:eastAsia="Times New Roman" w:hAnsi="Arial" w:cs="Arial"/>
          <w:color w:val="000000"/>
          <w:sz w:val="20"/>
          <w:szCs w:val="20"/>
          <w:lang w:eastAsia="en-IN"/>
        </w:rPr>
        <w:t>installments</w:t>
      </w:r>
      <w:proofErr w:type="spellEnd"/>
      <w:r w:rsidRPr="003B7CEA">
        <w:rPr>
          <w:rFonts w:ascii="Arial" w:eastAsia="Times New Roman" w:hAnsi="Arial" w:cs="Arial"/>
          <w:color w:val="000000"/>
          <w:sz w:val="20"/>
          <w:szCs w:val="20"/>
          <w:lang w:eastAsia="en-IN"/>
        </w:rPr>
        <w:t>.</w:t>
      </w:r>
    </w:p>
    <w:p w14:paraId="15A521C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7.4. Security and Margin:</w:t>
      </w:r>
      <w:r w:rsidRPr="003B7CEA">
        <w:rPr>
          <w:rFonts w:ascii="Arial" w:eastAsia="Times New Roman" w:hAnsi="Arial" w:cs="Arial"/>
          <w:color w:val="000000"/>
          <w:sz w:val="20"/>
          <w:szCs w:val="20"/>
          <w:lang w:eastAsia="en-IN"/>
        </w:rPr>
        <w:t> No collateral and no margin will be charged up to ₹ 10.00 lakhs limit to the SHGs. No lien should be marked against savings bank account of SHGs and no deposits should be insisted upon while sanctioning loans.</w:t>
      </w:r>
    </w:p>
    <w:p w14:paraId="7B0D31E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7.5. Dealing with Defaulters:</w:t>
      </w:r>
    </w:p>
    <w:p w14:paraId="4440FCC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7.5.1 It is desirable that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be financed under DAY-NRLM. In case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have the benefit of such bank loan until the outstanding loans are repaid. </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t>
      </w:r>
      <w:proofErr w:type="spellStart"/>
      <w:r w:rsidRPr="003B7CEA">
        <w:rPr>
          <w:rFonts w:ascii="Arial" w:eastAsia="Times New Roman" w:hAnsi="Arial" w:cs="Arial"/>
          <w:color w:val="000000"/>
          <w:sz w:val="20"/>
          <w:szCs w:val="20"/>
          <w:lang w:eastAsia="en-IN"/>
        </w:rPr>
        <w:t>willful</w:t>
      </w:r>
      <w:proofErr w:type="spellEnd"/>
      <w:r w:rsidRPr="003B7CEA">
        <w:rPr>
          <w:rFonts w:ascii="Arial" w:eastAsia="Times New Roman" w:hAnsi="Arial" w:cs="Arial"/>
          <w:color w:val="000000"/>
          <w:sz w:val="20"/>
          <w:szCs w:val="20"/>
          <w:lang w:eastAsia="en-IN"/>
        </w:rPr>
        <w:t xml:space="preserve"> defaulters should not be debarred from receiving the loan. In case default is due to genuine reasons, Banks may follow the norms suggested for restructuring the account with revised repayment schedule.</w:t>
      </w:r>
    </w:p>
    <w:p w14:paraId="0C2E5A9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8. Credit Target Planning</w:t>
      </w:r>
    </w:p>
    <w:p w14:paraId="6956868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8.1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should be reviewed and monitored periodically for effective implementation.</w:t>
      </w:r>
    </w:p>
    <w:p w14:paraId="3773FF4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8.2 The district-wise credit plans should be communicated to the DCC. The Block- wise/Cluster-wise targets are to be communicated to the bank Branches through the Controllers.</w:t>
      </w:r>
    </w:p>
    <w:p w14:paraId="7815018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9. Post credit follow-up</w:t>
      </w:r>
    </w:p>
    <w:p w14:paraId="58E8CE3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9.1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14:paraId="763B1D8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9.2 Bank branches may observe one fixed day in a fortnight to enable the staff to go to the field and attend the meetings of the SHGs and Federations to observe the operations of the SHGs and keep a track of the regularity in the SHGs meetings and performance.</w:t>
      </w:r>
    </w:p>
    <w:p w14:paraId="54E84A7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10. Repayment:</w:t>
      </w:r>
    </w:p>
    <w:p w14:paraId="6E7E68D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Prompt repayment of the loans is necessary to ensure the success of the programme. Banks shall take all possible measures, i.e. personal contact, organization of joint recovery camps with District Mission Management Units (DPMUs) / DRDAs to ensure the recovery of loans. Keeping in view, the importance of loan recovery, banks should prepare a list of defaulting SHGs under DAY-NRLM every month and furnish the list in the BLBC, DCC meetings. This would ensure that DAY-NRLM staff at the district/ block level will assist the bankers in initiating the repayment.</w:t>
      </w:r>
    </w:p>
    <w:p w14:paraId="0289BCC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11. Deputation of the bank officials to SRLMs</w:t>
      </w:r>
    </w:p>
    <w:p w14:paraId="791B0343"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As a measure of strengthening the (DPMUs) / DRDAs and for promoting a better credit environment, deputation of the bank officials to DPMUs/ DRDAs has been suggested. Banks may consider deputing officers at various levels to the State Governments/DRDAs in consultation with them.</w:t>
      </w:r>
    </w:p>
    <w:p w14:paraId="1C5928A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12. Supervision and monitoring of the Scheme</w:t>
      </w:r>
    </w:p>
    <w:p w14:paraId="2379CDF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Banks may set up DAY-NRLM cells at Regional/Zonal offices.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14:paraId="12DF25C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12.1 State Level Bankers’ Committee:</w:t>
      </w:r>
      <w:r w:rsidRPr="003B7CEA">
        <w:rPr>
          <w:rFonts w:ascii="Arial" w:eastAsia="Times New Roman" w:hAnsi="Arial" w:cs="Arial"/>
          <w:color w:val="000000"/>
          <w:sz w:val="20"/>
          <w:szCs w:val="20"/>
          <w:lang w:eastAsia="en-IN"/>
        </w:rPr>
        <w:t>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meet once in a month with a specific agenda of review, implementation and monitoring of the SHG-Bank linkage and the issues/ constraints in achievement of the credit target. The decisions of SLBCs should be derived from the analysis of the reports of the sub-committee.</w:t>
      </w:r>
    </w:p>
    <w:p w14:paraId="15B9A4E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12.2 District Coordination Committee:</w:t>
      </w:r>
      <w:r w:rsidRPr="003B7CEA">
        <w:rPr>
          <w:rFonts w:ascii="Arial" w:eastAsia="Times New Roman" w:hAnsi="Arial" w:cs="Arial"/>
          <w:color w:val="000000"/>
          <w:sz w:val="20"/>
          <w:szCs w:val="20"/>
          <w:lang w:eastAsia="en-IN"/>
        </w:rPr>
        <w:t> The DCC (DAY-NRLM sub-committee) shall regularly monitor the flow of credit to SHGs at the district level and resolve issues that constrain the flow of credit to the SHGs at district level. This committee meeting should have participation of LDMs, AGM of NABARD, district coordinators of the banks and DPMU staff representing DAY-NRLM and office bearers of SHG federations.</w:t>
      </w:r>
    </w:p>
    <w:p w14:paraId="0DF808B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12.3 Block level Bankers Committee:</w:t>
      </w:r>
      <w:r w:rsidRPr="003B7CEA">
        <w:rPr>
          <w:rFonts w:ascii="Arial" w:eastAsia="Times New Roman" w:hAnsi="Arial" w:cs="Arial"/>
          <w:color w:val="000000"/>
          <w:sz w:val="20"/>
          <w:szCs w:val="20"/>
          <w:lang w:eastAsia="en-IN"/>
        </w:rPr>
        <w:t> The BLBC shall meet regularly and take up issues of SHG bank linkage at the block level. In this Committee, the SHGs/ Federations of the SHGs should be included as members to raise their voice in the forum. Branch wise status of SHG credit shall be monitored at the BLBC (Annex B and C may be used for the purpose)</w:t>
      </w:r>
    </w:p>
    <w:p w14:paraId="7F72087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lastRenderedPageBreak/>
        <w:t>12.4 Reporting to Lead District Managers:</w:t>
      </w:r>
      <w:r w:rsidRPr="003B7CEA">
        <w:rPr>
          <w:rFonts w:ascii="Arial" w:eastAsia="Times New Roman" w:hAnsi="Arial" w:cs="Arial"/>
          <w:color w:val="000000"/>
          <w:sz w:val="20"/>
          <w:szCs w:val="20"/>
          <w:lang w:eastAsia="en-IN"/>
        </w:rPr>
        <w:t> The branches may furnish the progress report and the delinquency report achieved under various activities of DAY-NRLM in the format at </w:t>
      </w:r>
      <w:hyperlink r:id="rId15" w:tgtFrame="_blank" w:history="1">
        <w:r w:rsidRPr="003B7CEA">
          <w:rPr>
            <w:rFonts w:ascii="Arial" w:eastAsia="Times New Roman" w:hAnsi="Arial" w:cs="Arial"/>
            <w:color w:val="0000FF"/>
            <w:sz w:val="20"/>
            <w:szCs w:val="20"/>
            <w:u w:val="single"/>
            <w:lang w:eastAsia="en-IN"/>
          </w:rPr>
          <w:t>Annex ‘IV’</w:t>
        </w:r>
      </w:hyperlink>
      <w:r w:rsidRPr="003B7CEA">
        <w:rPr>
          <w:rFonts w:ascii="Arial" w:eastAsia="Times New Roman" w:hAnsi="Arial" w:cs="Arial"/>
          <w:color w:val="000000"/>
          <w:sz w:val="20"/>
          <w:szCs w:val="20"/>
          <w:lang w:eastAsia="en-IN"/>
        </w:rPr>
        <w:t> and </w:t>
      </w:r>
      <w:hyperlink r:id="rId16" w:tgtFrame="_blank" w:history="1">
        <w:r w:rsidRPr="003B7CEA">
          <w:rPr>
            <w:rFonts w:ascii="Arial" w:eastAsia="Times New Roman" w:hAnsi="Arial" w:cs="Arial"/>
            <w:color w:val="0000FF"/>
            <w:sz w:val="20"/>
            <w:szCs w:val="20"/>
            <w:u w:val="single"/>
            <w:lang w:eastAsia="en-IN"/>
          </w:rPr>
          <w:t>‘Annex V’</w:t>
        </w:r>
      </w:hyperlink>
      <w:r w:rsidRPr="003B7CEA">
        <w:rPr>
          <w:rFonts w:ascii="Arial" w:eastAsia="Times New Roman" w:hAnsi="Arial" w:cs="Arial"/>
          <w:color w:val="000000"/>
          <w:sz w:val="20"/>
          <w:szCs w:val="20"/>
          <w:lang w:eastAsia="en-IN"/>
        </w:rPr>
        <w:t> to the LDM every month for onward submission to Special Steering Committee/sub-committee constituted by SLBC.</w:t>
      </w:r>
    </w:p>
    <w:p w14:paraId="54BB0CA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12.5 Reporting to RBI</w:t>
      </w:r>
      <w:r w:rsidRPr="003B7CEA">
        <w:rPr>
          <w:rFonts w:ascii="Arial" w:eastAsia="Times New Roman" w:hAnsi="Arial" w:cs="Arial"/>
          <w:color w:val="000000"/>
          <w:sz w:val="20"/>
          <w:szCs w:val="20"/>
          <w:lang w:eastAsia="en-IN"/>
        </w:rPr>
        <w:t>: Banks may give a state-wise consolidated report on the progress made on DAY-NRLM to RBI/NABARD at quarterly intervals. The data may be submitted within a month from the end of the concerned quarter.</w:t>
      </w:r>
    </w:p>
    <w:p w14:paraId="26E22E1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12.6 LBR returns</w:t>
      </w:r>
      <w:r w:rsidRPr="003B7CEA">
        <w:rPr>
          <w:rFonts w:ascii="Arial" w:eastAsia="Times New Roman" w:hAnsi="Arial" w:cs="Arial"/>
          <w:color w:val="000000"/>
          <w:sz w:val="20"/>
          <w:szCs w:val="20"/>
          <w:lang w:eastAsia="en-IN"/>
        </w:rPr>
        <w:t>: Existing procedure of submitting LBR returns to be continued duly furnishing the correct code.</w:t>
      </w:r>
    </w:p>
    <w:p w14:paraId="4E0E77F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13. Data Sharing:</w:t>
      </w:r>
    </w:p>
    <w:p w14:paraId="1C1C9872"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Data sharing on a mutually agreed format / interval may be provided to DAY-NRLM or State Rural Livelihood Missions (SRLMs) for initiating various strategies including recovery etc.</w:t>
      </w:r>
    </w:p>
    <w:p w14:paraId="101107D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financing banks are advised to regularly share data on loans to SHGs with the DAYNRLM or SRLMs, directly from the CBS platform.</w:t>
      </w:r>
    </w:p>
    <w:p w14:paraId="7867507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14. DAY-NRLM support to the bankers:</w:t>
      </w:r>
    </w:p>
    <w:p w14:paraId="2E870BB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14.1 SRLM would develop strategic partnerships with major banks at various levels. It would invest in creating enabling conditions for both the banks and the poor for a mutually rewarding relationship.</w:t>
      </w:r>
    </w:p>
    <w:p w14:paraId="0DD9831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14.2 SRLM will assist the SHGs through imparting financial Literacy, extending counselling services on savings, credit, insurance, pension and training on Micro-investment Planning embedded in capacity building.</w:t>
      </w:r>
    </w:p>
    <w:p w14:paraId="6C85C1E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14.3 SRLMs will extend support to banks for improving quality of banking services to poor clients including follow-up for recovery of over dues if any, by positioning customer relationship managers (Bank Mitra/ </w:t>
      </w:r>
      <w:proofErr w:type="spellStart"/>
      <w:r w:rsidRPr="003B7CEA">
        <w:rPr>
          <w:rFonts w:ascii="Arial" w:eastAsia="Times New Roman" w:hAnsi="Arial" w:cs="Arial"/>
          <w:color w:val="000000"/>
          <w:sz w:val="20"/>
          <w:szCs w:val="20"/>
          <w:lang w:eastAsia="en-IN"/>
        </w:rPr>
        <w:t>Sakhi</w:t>
      </w:r>
      <w:proofErr w:type="spellEnd"/>
      <w:r w:rsidRPr="003B7CEA">
        <w:rPr>
          <w:rFonts w:ascii="Arial" w:eastAsia="Times New Roman" w:hAnsi="Arial" w:cs="Arial"/>
          <w:color w:val="000000"/>
          <w:sz w:val="20"/>
          <w:szCs w:val="20"/>
          <w:lang w:eastAsia="en-IN"/>
        </w:rPr>
        <w:t>) with every bank branch involved in financing of SHGs.</w:t>
      </w:r>
    </w:p>
    <w:p w14:paraId="626C5A2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14.4 Leveraging IT mobile technologies and institutions of poor, youth or SHG member as business facilitators and business correspondents.</w:t>
      </w:r>
    </w:p>
    <w:p w14:paraId="71CBCD5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14.5 Community Based Repayment mechanism (CBRM):</w:t>
      </w:r>
      <w:r w:rsidRPr="003B7CEA">
        <w:rPr>
          <w:rFonts w:ascii="Arial" w:eastAsia="Times New Roman" w:hAnsi="Arial" w:cs="Arial"/>
          <w:color w:val="000000"/>
          <w:sz w:val="20"/>
          <w:szCs w:val="20"/>
          <w:lang w:eastAsia="en-IN"/>
        </w:rPr>
        <w:t> One exclusive sub - committee for SHG Bank Linkage may be formed at village/cluster/ block level which will provide support to the banks in ensuring proper utilization of loan amount, recovery etc. The bank linkage sub - committee members from each village level federation along with project staff will meet once in a month under the chairmanship of the Branch Manager in the branch premises with the agenda items relating to bank linkage.</w:t>
      </w:r>
    </w:p>
    <w:p w14:paraId="3291FC91" w14:textId="77777777" w:rsidR="00CC4E32" w:rsidRPr="003B7CEA" w:rsidRDefault="003F25F1" w:rsidP="00CC4E32">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04215C01">
          <v:rect id="_x0000_i1025" style="width:0;height:.75pt" o:hrstd="t" o:hrnoshade="t" o:hr="t" fillcolor="black" stroked="f"/>
        </w:pict>
      </w:r>
    </w:p>
    <w:p w14:paraId="25931EB8" w14:textId="77777777" w:rsidR="00CC4E32" w:rsidRPr="003B7CEA" w:rsidRDefault="00CC4E32" w:rsidP="00CC4E32">
      <w:pPr>
        <w:shd w:val="clear" w:color="auto" w:fill="FFFFFF"/>
        <w:spacing w:before="100" w:beforeAutospacing="1" w:after="100" w:afterAutospacing="1" w:line="240" w:lineRule="auto"/>
        <w:jc w:val="right"/>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Annex I</w:t>
      </w:r>
    </w:p>
    <w:p w14:paraId="180E3CBB" w14:textId="77777777" w:rsidR="00CC4E32" w:rsidRPr="003B7CEA" w:rsidRDefault="00CC4E32" w:rsidP="00CC4E32">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Key Features of DAY-NRLM</w:t>
      </w:r>
    </w:p>
    <w:p w14:paraId="753C9B23"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 Universal Social Mobilization:</w:t>
      </w:r>
      <w:r w:rsidRPr="003B7CEA">
        <w:rPr>
          <w:rFonts w:ascii="Arial" w:eastAsia="Times New Roman" w:hAnsi="Arial" w:cs="Arial"/>
          <w:color w:val="000000"/>
          <w:sz w:val="20"/>
          <w:szCs w:val="20"/>
          <w:lang w:eastAsia="en-IN"/>
        </w:rPr>
        <w:t xml:space="preserve"> To begin with, DAY-NRLM would ensure that at least one member from each identified rural poor household, preferably a woman, is brought under the Self Help Group (SHG) network in a time bound manner. Subsequently, both women and men would be organized for addressing livelihoods issues i.e. farmers organizations, milk producers’ cooperatives, weavers associations, etc. All these institutions are inclusive and no poor would be left out of them. DAY-NRLM would ensure adequate coverage of vulnerable sections of the society such that 50% of the beneficiaries are SC/STs, 15% are minorities and 3% are persons with disability, while keeping in view </w:t>
      </w:r>
      <w:r w:rsidRPr="003B7CEA">
        <w:rPr>
          <w:rFonts w:ascii="Arial" w:eastAsia="Times New Roman" w:hAnsi="Arial" w:cs="Arial"/>
          <w:color w:val="000000"/>
          <w:sz w:val="20"/>
          <w:szCs w:val="20"/>
          <w:lang w:eastAsia="en-IN"/>
        </w:rPr>
        <w:lastRenderedPageBreak/>
        <w:t>the ultimate target of 100% coverage of all households under the automatically included criteria and households with at least one deprivation criteria as per Socio-Economic and Caste Census (SECC).</w:t>
      </w:r>
    </w:p>
    <w:p w14:paraId="3118795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2. Participatory Identification of poor (PIP):</w:t>
      </w:r>
      <w:r w:rsidRPr="003B7CEA">
        <w:rPr>
          <w:rFonts w:ascii="Arial" w:eastAsia="Times New Roman" w:hAnsi="Arial" w:cs="Arial"/>
          <w:color w:val="000000"/>
          <w:sz w:val="20"/>
          <w:szCs w:val="20"/>
          <w:lang w:eastAsia="en-IN"/>
        </w:rPr>
        <w:t> The experience from SGSY suggests that the current BPL list has large inclusion and exclusion errors. To widen the target groups beyond the BPL list and to include all the needy poor identified as households with at least one deprivation criteria as per Socio-Economic and Caste Census (SECC). DAY- NRLM will also undertake community-based process i.e. participation of the poor in the process of identifying the target group. Participatory process based on sound methodology and tools </w:t>
      </w:r>
      <w:r w:rsidRPr="003B7CEA">
        <w:rPr>
          <w:rFonts w:ascii="Arial" w:eastAsia="Times New Roman" w:hAnsi="Arial" w:cs="Arial"/>
          <w:i/>
          <w:iCs/>
          <w:color w:val="000000"/>
          <w:sz w:val="20"/>
          <w:szCs w:val="20"/>
          <w:lang w:eastAsia="en-IN"/>
        </w:rPr>
        <w:t>(social mapping and well-being categorization, deprivation indicators) </w:t>
      </w:r>
      <w:r w:rsidRPr="003B7CEA">
        <w:rPr>
          <w:rFonts w:ascii="Arial" w:eastAsia="Times New Roman" w:hAnsi="Arial" w:cs="Arial"/>
          <w:color w:val="000000"/>
          <w:sz w:val="20"/>
          <w:szCs w:val="20"/>
          <w:lang w:eastAsia="en-IN"/>
        </w:rPr>
        <w:t>and also locally understood and accepted criterion ensures local consensus that inadvertently reduces the inclusion and exclusion errors and enables formation of the groups on the basis of mutual affinity. Over the years, the participatory method of identifying the poor have been developed and applied successfully in the states like AP, Kerala, Tamil Nadu and Odisha.</w:t>
      </w:r>
    </w:p>
    <w:p w14:paraId="12F2C59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households identified with at least one deprivation criteria as per SECC along with households identified through the P.I.P process will be accepted as DAY-NRLM target group and will be eligible for all the benefits under the programme. The list finalized after PIP process will be vetted by the Gram Sabha and approved by the Gram Panchayat.</w:t>
      </w:r>
    </w:p>
    <w:p w14:paraId="0693B97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Till the PIP process is undertaken by the State in a particular district/Block, the rural households with at least one deprivation criteria as per SECC list will be targeted under DAY-NRLM. As already provided in the Framework for implementation of DAY-NRLM, up to 30% of the total membership of the SHGs may be from among the population marginally above the poverty line, subject to the approval of other members of the group. This 30% also includes the poor households whose name does not figure in the SECC list but are as poor as those included in SECC list.</w:t>
      </w:r>
    </w:p>
    <w:p w14:paraId="6C3E716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3. Promotion of Institutions of the poor:</w:t>
      </w:r>
      <w:r w:rsidRPr="003B7CEA">
        <w:rPr>
          <w:rFonts w:ascii="Arial" w:eastAsia="Times New Roman" w:hAnsi="Arial" w:cs="Arial"/>
          <w:color w:val="000000"/>
          <w:sz w:val="20"/>
          <w:szCs w:val="20"/>
          <w:lang w:eastAsia="en-IN"/>
        </w:rPr>
        <w:t> Strong institutions of the poor such as SHGs and their village level and higher-level federations are necessary to provide space, voice and resources for the poor and for reducing their dependence on external agencies. They empower them and also act as instruments of knowledge and technology dissemination, and hubs of production, collectivization and commerce. DAY-NRLM, therefore, would focus on setting up these institutions at various levels. In addition, DAY- NRLM would promote specialized institutions like Livelihoods collectives, producers’ cooperative/companies for livelihoods promotion through deriving economies of scale, backward and forward linkages, and access to information, credit, technology, markets etc.</w:t>
      </w:r>
    </w:p>
    <w:p w14:paraId="32925E1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Livelihoods collectives would enable the poor to optimize their limited resource.</w:t>
      </w:r>
    </w:p>
    <w:p w14:paraId="34300C4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4. Strengthening all existing SHGs and federations of the poor.</w:t>
      </w:r>
      <w:r w:rsidRPr="003B7CEA">
        <w:rPr>
          <w:rFonts w:ascii="Arial" w:eastAsia="Times New Roman" w:hAnsi="Arial" w:cs="Arial"/>
          <w:color w:val="000000"/>
          <w:sz w:val="20"/>
          <w:szCs w:val="20"/>
          <w:lang w:eastAsia="en-IN"/>
        </w:rPr>
        <w:t xml:space="preserve"> There are existing institutions of the poor women formed by Government efforts and efforts of NGOs. DAY- NRLM would strengthen all existing institutions of the poor in a partnership mode. The </w:t>
      </w:r>
      <w:proofErr w:type="spellStart"/>
      <w:r w:rsidRPr="003B7CEA">
        <w:rPr>
          <w:rFonts w:ascii="Arial" w:eastAsia="Times New Roman" w:hAnsi="Arial" w:cs="Arial"/>
          <w:color w:val="000000"/>
          <w:sz w:val="20"/>
          <w:szCs w:val="20"/>
          <w:lang w:eastAsia="en-IN"/>
        </w:rPr>
        <w:t>selfhelp</w:t>
      </w:r>
      <w:proofErr w:type="spellEnd"/>
      <w:r w:rsidRPr="003B7CEA">
        <w:rPr>
          <w:rFonts w:ascii="Arial" w:eastAsia="Times New Roman" w:hAnsi="Arial" w:cs="Arial"/>
          <w:color w:val="000000"/>
          <w:sz w:val="20"/>
          <w:szCs w:val="20"/>
          <w:lang w:eastAsia="en-IN"/>
        </w:rPr>
        <w:t xml:space="preserve"> promoting institutions both in the Government and in the </w:t>
      </w:r>
      <w:proofErr w:type="gramStart"/>
      <w:r w:rsidRPr="003B7CEA">
        <w:rPr>
          <w:rFonts w:ascii="Arial" w:eastAsia="Times New Roman" w:hAnsi="Arial" w:cs="Arial"/>
          <w:color w:val="000000"/>
          <w:sz w:val="20"/>
          <w:szCs w:val="20"/>
          <w:lang w:eastAsia="en-IN"/>
        </w:rPr>
        <w:t>NGO</w:t>
      </w:r>
      <w:proofErr w:type="gramEnd"/>
      <w:r w:rsidRPr="003B7CEA">
        <w:rPr>
          <w:rFonts w:ascii="Arial" w:eastAsia="Times New Roman" w:hAnsi="Arial" w:cs="Arial"/>
          <w:color w:val="000000"/>
          <w:sz w:val="20"/>
          <w:szCs w:val="20"/>
          <w:lang w:eastAsia="en-IN"/>
        </w:rPr>
        <w:t xml:space="preserve"> sector would promote social accountability practices to introduce greater transparency. This would be in addition to the mechanisms that would be evolved by SRLMs and state governments. The learning from one another underpins the key processes of learning in DAY-NRLM.</w:t>
      </w:r>
    </w:p>
    <w:p w14:paraId="325469B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5. Emphasis on Training, Capacity building and skill building:</w:t>
      </w:r>
      <w:r w:rsidRPr="003B7CEA">
        <w:rPr>
          <w:rFonts w:ascii="Arial" w:eastAsia="Times New Roman" w:hAnsi="Arial" w:cs="Arial"/>
          <w:color w:val="000000"/>
          <w:sz w:val="20"/>
          <w:szCs w:val="20"/>
          <w:lang w:eastAsia="en-IN"/>
        </w:rPr>
        <w:t> DAY-NRLM would ensure that the poor are provided with the requisite skills for managing their institutions, linking up with markets, managing their existing livelihoods, enhancing their credit absorption capacity and credit worthiness, etc. A multi-pronged approach is envisaged for continuous capacity building of the targeted families, SHGs, their federations, government functionaries, bankers, NGOs and other key stakeholders. Particular focus would be on developing and engaging community professionals and community resource persons for capacity building of SHGs and their federations and other collectives. DAY- NRLM would make extensive use of ICT to make knowledge dissemination and capacity building more effective.</w:t>
      </w:r>
    </w:p>
    <w:p w14:paraId="6B6894D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6. Revolving Fund and Community investment support Fund (C.I.F):</w:t>
      </w:r>
      <w:r w:rsidRPr="003B7CEA">
        <w:rPr>
          <w:rFonts w:ascii="Arial" w:eastAsia="Times New Roman" w:hAnsi="Arial" w:cs="Arial"/>
          <w:color w:val="000000"/>
          <w:sz w:val="20"/>
          <w:szCs w:val="20"/>
          <w:lang w:eastAsia="en-IN"/>
        </w:rPr>
        <w:t xml:space="preserve"> A Revolving Fund would be provided to eligible SHGs as an incentive to inculcate the habit of thrift and accumulate their own funds towards meeting their credit needs in the long-run and immediate consumption needs in the short-run. The C.I.F would be a corpus and used for meeting the members’ credit needs directly and as catalytic </w:t>
      </w:r>
      <w:r w:rsidRPr="003B7CEA">
        <w:rPr>
          <w:rFonts w:ascii="Arial" w:eastAsia="Times New Roman" w:hAnsi="Arial" w:cs="Arial"/>
          <w:color w:val="000000"/>
          <w:sz w:val="20"/>
          <w:szCs w:val="20"/>
          <w:lang w:eastAsia="en-IN"/>
        </w:rPr>
        <w:lastRenderedPageBreak/>
        <w:t>capital for leveraging repeat bank finance. The C.I.F would be routed to the SHGs through the Federations. The key to coming out of poverty is continuous and easy access to finance, at reasonable rates, till they accumulate their own funds in large measure.</w:t>
      </w:r>
    </w:p>
    <w:p w14:paraId="262272D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7. Universal Financial Inclusion:</w:t>
      </w:r>
      <w:r w:rsidRPr="003B7CEA">
        <w:rPr>
          <w:rFonts w:ascii="Arial" w:eastAsia="Times New Roman" w:hAnsi="Arial" w:cs="Arial"/>
          <w:color w:val="000000"/>
          <w:sz w:val="20"/>
          <w:szCs w:val="20"/>
          <w:lang w:eastAsia="en-IN"/>
        </w:rPr>
        <w:t xml:space="preserve"> DAY-NRLM would work towards achieving universal financial inclusion, beyond basic banking services to all the poor households, SHGs and their federations. DAY-NRLM would work on both demand and supply side of Financial Inclusion. On the demand side, it would promote financial literacy among the poor and provides catalytic capital to the SHGs and their federations. On the supply side, it would coordinate with the financial sector and encourage use of Information, Communication &amp; Technology (ICT) based financial technologies, business correspondents and community facilitators like ‘Bank </w:t>
      </w:r>
      <w:proofErr w:type="spellStart"/>
      <w:r w:rsidRPr="003B7CEA">
        <w:rPr>
          <w:rFonts w:ascii="Arial" w:eastAsia="Times New Roman" w:hAnsi="Arial" w:cs="Arial"/>
          <w:color w:val="000000"/>
          <w:sz w:val="20"/>
          <w:szCs w:val="20"/>
          <w:lang w:eastAsia="en-IN"/>
        </w:rPr>
        <w:t>Mitras</w:t>
      </w:r>
      <w:proofErr w:type="spellEnd"/>
      <w:r w:rsidRPr="003B7CEA">
        <w:rPr>
          <w:rFonts w:ascii="Arial" w:eastAsia="Times New Roman" w:hAnsi="Arial" w:cs="Arial"/>
          <w:color w:val="000000"/>
          <w:sz w:val="20"/>
          <w:szCs w:val="20"/>
          <w:lang w:eastAsia="en-IN"/>
        </w:rPr>
        <w:t>’. It would also work towards universal coverage of rural poor against loss of life, health and assets. Further, it would work on remittances, especially in areas where migration is endemic.</w:t>
      </w:r>
    </w:p>
    <w:p w14:paraId="129B81B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8. Provision of Interest Subvention:</w:t>
      </w:r>
      <w:r w:rsidRPr="003B7CEA">
        <w:rPr>
          <w:rFonts w:ascii="Arial" w:eastAsia="Times New Roman" w:hAnsi="Arial" w:cs="Arial"/>
          <w:color w:val="000000"/>
          <w:sz w:val="20"/>
          <w:szCs w:val="20"/>
          <w:lang w:eastAsia="en-IN"/>
        </w:rPr>
        <w:t> The rural poor need credit at low rate of interest and in multiple doses to make their ventures economically viable. In order to ensure affordable credit, DAY-NRLM has a provision for subvention on interest rate above 7% per annum for all eligible SHGs, who have availed loans from mainstream financial institutions.</w:t>
      </w:r>
    </w:p>
    <w:p w14:paraId="72CAF48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9. Funding Pattern:</w:t>
      </w:r>
      <w:r w:rsidRPr="003B7CEA">
        <w:rPr>
          <w:rFonts w:ascii="Arial" w:eastAsia="Times New Roman" w:hAnsi="Arial" w:cs="Arial"/>
          <w:color w:val="000000"/>
          <w:sz w:val="20"/>
          <w:szCs w:val="20"/>
          <w:lang w:eastAsia="en-IN"/>
        </w:rPr>
        <w:t> DAY-NRLM is a Centrally Sponsored Scheme and the financing of the programme would be shared between the Centre and the States in the ratio of 60:40 (90:10 in case of North Eastern States including Sikkim; completely from the Centre in case of UTs). The Central allocation earmarked for the States would broadly be distributed in relation to the incidence of poverty in the States.</w:t>
      </w:r>
    </w:p>
    <w:p w14:paraId="6F13FD1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10. Phased Implementation:</w:t>
      </w:r>
      <w:r w:rsidRPr="003B7CEA">
        <w:rPr>
          <w:rFonts w:ascii="Arial" w:eastAsia="Times New Roman" w:hAnsi="Arial" w:cs="Arial"/>
          <w:color w:val="000000"/>
          <w:sz w:val="20"/>
          <w:szCs w:val="20"/>
          <w:lang w:eastAsia="en-IN"/>
        </w:rPr>
        <w:t> Social capital of the poor consists of the institutions of the poor, their leaders, community professionals and more importantly community resource persons (poor women whose lives have been transformed through the support of their institutions). Building up social capital takes some time in the initial years, but it multiplies rapidly after some time. If the social capital of the poor does not play the lead role in DAY-NRLM, then it would not be a people’s programme. Further, it is important to ensure that the quality and effectiveness of the interventions is not diluted. Therefore, a phased implementation approach is adopted in DAY-NRLM. DAY-NRLM would reach all districts by the end of 12th Five-year Plan.</w:t>
      </w:r>
    </w:p>
    <w:p w14:paraId="6CE0522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b/>
          <w:bCs/>
          <w:color w:val="000000"/>
          <w:sz w:val="20"/>
          <w:szCs w:val="20"/>
          <w:lang w:eastAsia="en-IN"/>
        </w:rPr>
        <w:t>11. Intensive blocks.</w:t>
      </w:r>
      <w:r w:rsidRPr="003B7CEA">
        <w:rPr>
          <w:rFonts w:ascii="Arial" w:eastAsia="Times New Roman" w:hAnsi="Arial" w:cs="Arial"/>
          <w:color w:val="000000"/>
          <w:sz w:val="20"/>
          <w:szCs w:val="20"/>
          <w:lang w:eastAsia="en-IN"/>
        </w:rPr>
        <w:t> The blocks that are taken up for implementation of DAY-NRLM, ‘intensive blocks’, would have access to a full complement of trained professional staff and cover a whole range of activities of universal and intense social and financial inclusion, livelihoods, partnerships etc. However, in the remaining blocks or non-intensive blocks, the activities may be limited in scope and intensity.</w:t>
      </w:r>
    </w:p>
    <w:p w14:paraId="74BCD8C4" w14:textId="77777777" w:rsidR="00CC4E32" w:rsidRPr="003B7CEA" w:rsidRDefault="00CC4E32" w:rsidP="00CC4E3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r w:rsidRPr="003B7CEA">
        <w:rPr>
          <w:rFonts w:ascii="Arial" w:eastAsia="Times New Roman" w:hAnsi="Arial" w:cs="Arial"/>
          <w:b/>
          <w:bCs/>
          <w:color w:val="000000"/>
          <w:sz w:val="20"/>
          <w:szCs w:val="20"/>
          <w:lang w:eastAsia="en-IN"/>
        </w:rPr>
        <w:t>12. Rural Self Employment Training Institutes (RSETIs).</w:t>
      </w:r>
      <w:r w:rsidRPr="003B7CEA">
        <w:rPr>
          <w:rFonts w:ascii="Arial" w:eastAsia="Times New Roman" w:hAnsi="Arial" w:cs="Arial"/>
          <w:color w:val="000000"/>
          <w:sz w:val="20"/>
          <w:szCs w:val="20"/>
          <w:lang w:eastAsia="en-IN"/>
        </w:rPr>
        <w:t> RSETI concept is built on the model pioneered by Rural Development Self Employment Institute (RUDSETI) – a collaborative partnership between SDME Trust, Syndicate Bank and Canara Bank. The model envisages transforming unemployed youth into confident self- employed entrepreneurs through a short duration experiential learning programme followed by systematic long duration hand holding support. The need-based training builds entrepreneurship qualities, improves self-confidence, reduces risk of failure and develops the trainees into change agents. Banks are fully involved in selection, training and post training follow up stages. The needs of the poor articulated through the institutions of the poor would guide RSETIs in preparing the participants/trainees in their pursuits of self- employment and enterprises. DAY-NRLM would encourage public sector banks to set up RSETIs in all districts of the country.</w:t>
      </w:r>
      <w:r w:rsidR="003F25F1">
        <w:rPr>
          <w:rFonts w:ascii="Times New Roman" w:eastAsia="Times New Roman" w:hAnsi="Times New Roman" w:cs="Times New Roman"/>
          <w:sz w:val="24"/>
          <w:szCs w:val="24"/>
          <w:lang w:eastAsia="en-IN"/>
        </w:rPr>
        <w:pict w14:anchorId="0ED35760">
          <v:rect id="_x0000_i1026" style="width:0;height:.75pt" o:hrstd="t" o:hrnoshade="t" o:hr="t" fillcolor="black" stroked="f"/>
        </w:pict>
      </w:r>
    </w:p>
    <w:p w14:paraId="0BD4CA5F" w14:textId="77777777" w:rsidR="00CC4E32" w:rsidRDefault="00CC4E32" w:rsidP="00CC4E32">
      <w:pPr>
        <w:shd w:val="clear" w:color="auto" w:fill="FFFFFF"/>
        <w:spacing w:after="0" w:line="240" w:lineRule="auto"/>
        <w:jc w:val="right"/>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Annex II</w:t>
      </w:r>
    </w:p>
    <w:p w14:paraId="7D645907" w14:textId="77777777" w:rsidR="00CC4E32" w:rsidRPr="003B7CEA" w:rsidRDefault="00CC4E32" w:rsidP="00CC4E32">
      <w:pPr>
        <w:shd w:val="clear" w:color="auto" w:fill="FFFFFF"/>
        <w:spacing w:after="0" w:line="240" w:lineRule="auto"/>
        <w:jc w:val="center"/>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Interest subvention scheme for Women SHGs</w:t>
      </w:r>
    </w:p>
    <w:p w14:paraId="0DB85C6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 Interest subvention scheme on Credit to Women SHG for all Commercial Banks (only Public Sector Banks, Private Sector Banks and Regional Rural Banks) and Co-operative banks in 250 districts</w:t>
      </w:r>
    </w:p>
    <w:p w14:paraId="74BE973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B7CEA">
        <w:rPr>
          <w:rFonts w:ascii="Arial" w:eastAsia="Times New Roman" w:hAnsi="Arial" w:cs="Arial"/>
          <w:color w:val="000000"/>
          <w:sz w:val="20"/>
          <w:szCs w:val="20"/>
          <w:lang w:eastAsia="en-IN"/>
        </w:rPr>
        <w:lastRenderedPageBreak/>
        <w:t>i</w:t>
      </w:r>
      <w:proofErr w:type="spellEnd"/>
      <w:r w:rsidRPr="003B7CEA">
        <w:rPr>
          <w:rFonts w:ascii="Arial" w:eastAsia="Times New Roman" w:hAnsi="Arial" w:cs="Arial"/>
          <w:color w:val="000000"/>
          <w:sz w:val="20"/>
          <w:szCs w:val="20"/>
          <w:lang w:eastAsia="en-IN"/>
        </w:rPr>
        <w:t>. All women SHGs will be eligible for interest subvention on credit up to 3 lakhs at 7% per annum. SHG availing capital subsidy under SGSY in their existing credit outstanding will not be eligible for benefit under this scheme.</w:t>
      </w:r>
    </w:p>
    <w:p w14:paraId="4EBCF09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 The Commercial Banks and Cooperative Banks will lend to all the women SHGs at the rate of 7% in the 250 districts. </w:t>
      </w:r>
      <w:hyperlink r:id="rId17" w:anchor="AN3" w:history="1">
        <w:r w:rsidRPr="003B7CEA">
          <w:rPr>
            <w:rFonts w:ascii="Arial" w:eastAsia="Times New Roman" w:hAnsi="Arial" w:cs="Arial"/>
            <w:color w:val="0000FF"/>
            <w:sz w:val="20"/>
            <w:szCs w:val="20"/>
            <w:u w:val="single"/>
            <w:lang w:eastAsia="en-IN"/>
          </w:rPr>
          <w:t>Annex III</w:t>
        </w:r>
      </w:hyperlink>
      <w:r w:rsidRPr="003B7CEA">
        <w:rPr>
          <w:rFonts w:ascii="Arial" w:eastAsia="Times New Roman" w:hAnsi="Arial" w:cs="Arial"/>
          <w:color w:val="000000"/>
          <w:sz w:val="20"/>
          <w:szCs w:val="20"/>
          <w:lang w:eastAsia="en-IN"/>
        </w:rPr>
        <w:t> provides the names of the 250 districts.</w:t>
      </w:r>
    </w:p>
    <w:p w14:paraId="41671E1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iii. All Commercial Banks (excluding RRBs)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to the extent of difference between the Weighted Average Interest Charged (</w:t>
      </w:r>
      <w:r w:rsidRPr="003B7CEA">
        <w:rPr>
          <w:rFonts w:ascii="Arial" w:eastAsia="Times New Roman" w:hAnsi="Arial" w:cs="Arial"/>
          <w:i/>
          <w:iCs/>
          <w:color w:val="000000"/>
          <w:sz w:val="20"/>
          <w:szCs w:val="20"/>
          <w:lang w:eastAsia="en-IN"/>
        </w:rPr>
        <w:t>WAIC as specified by Department of Financial Services, Ministry of Finance) </w:t>
      </w:r>
      <w:r w:rsidRPr="003B7CEA">
        <w:rPr>
          <w:rFonts w:ascii="Arial" w:eastAsia="Times New Roman" w:hAnsi="Arial" w:cs="Arial"/>
          <w:color w:val="000000"/>
          <w:sz w:val="20"/>
          <w:szCs w:val="20"/>
          <w:lang w:eastAsia="en-IN"/>
        </w:rPr>
        <w:t>and 7% subject to the maximum limit of 5.5%.This subvention will be available to all the Banks on the condition that they make SHG credit available at 7% p.a. in the 250 districts.</w:t>
      </w:r>
    </w:p>
    <w:p w14:paraId="2BF9F92D"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iv. RRBs and Cooperative Banks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to the extent of difference between the maximum lending rates (as specified by NABARD) and 7% subject to the maximum limit of 5.5%. This subvention will be available to all RRBs and Cooperative Banks on the condition that they make SHG credit available at 7% p.a. in the 250 districts. RRBs and Cooperative Banks will also get concessional refinance from NABARD. Detailed guidelines for RRBs and Cooperative Banks will be issued by NABARD.</w:t>
      </w:r>
    </w:p>
    <w:p w14:paraId="2FD8FC4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 Further, the SHGs will be provided with an additional 3% subvention on the prompt repayment of loans. For the purpose of Interest Subvention of additional 3% on prompt repayment, an SHG account will be considered prompt payee if it satisfies the following criterion.</w:t>
      </w:r>
    </w:p>
    <w:p w14:paraId="32521957"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a. For Cash Credit Limit:</w:t>
      </w:r>
    </w:p>
    <w:p w14:paraId="12A2DC46" w14:textId="77777777" w:rsidR="00CC4E32" w:rsidRPr="003B7CEA" w:rsidRDefault="00CC4E32" w:rsidP="00CC4E32">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Outstanding balance shall not have remained in excess of the limit /drawing power continuously for more than 30 days.</w:t>
      </w:r>
    </w:p>
    <w:p w14:paraId="0CE92FB7" w14:textId="77777777" w:rsidR="00CC4E32" w:rsidRPr="003B7CEA" w:rsidRDefault="00CC4E32" w:rsidP="00CC4E32">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There should be regular credit and debits in the accounts. In any case there shall be at least one customer induced credit during a month.</w:t>
      </w:r>
    </w:p>
    <w:p w14:paraId="68D8417D" w14:textId="77777777" w:rsidR="00CC4E32" w:rsidRPr="003B7CEA" w:rsidRDefault="00CC4E32" w:rsidP="00CC4E32">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Customer induced credit should be sufficient to cover the interest debited during the month.</w:t>
      </w:r>
    </w:p>
    <w:p w14:paraId="4B55599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u w:val="single"/>
          <w:lang w:eastAsia="en-IN"/>
        </w:rPr>
        <w:t>b. For the Term loans</w:t>
      </w:r>
      <w:r w:rsidRPr="003B7CEA">
        <w:rPr>
          <w:rFonts w:ascii="Arial" w:eastAsia="Times New Roman" w:hAnsi="Arial" w:cs="Arial"/>
          <w:color w:val="000000"/>
          <w:sz w:val="20"/>
          <w:szCs w:val="20"/>
          <w:lang w:eastAsia="en-IN"/>
        </w:rPr>
        <w:t>: A term loan account where all of the interest payments and/or instalments of principal were paid within 30 days of the due date during the tenure of the loan, would be considered as an account having prompt payment.</w:t>
      </w:r>
    </w:p>
    <w:p w14:paraId="245AAF07"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All prompt payee SHG accounts as on the end of the reporting quarter will be eligible for the additional interest subvention of 3%. The banks should credit the amount of 3% interest subvention to the eligible SHG loan accounts and thereafter seek the reimbursement.</w:t>
      </w:r>
    </w:p>
    <w:p w14:paraId="45F969B9"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 The Interest Subvention scheme shall be implemented for all commercial banks (excluding RRBs) through a Nodal Bank selected by the Ministry of Rural Development.</w:t>
      </w:r>
    </w:p>
    <w:p w14:paraId="0C59B14E"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vii. For the RRBs and Cooperative Banks the scheme will be operationalized by NABARD similar to the short-term crop loan scheme.</w:t>
      </w:r>
    </w:p>
    <w:p w14:paraId="67F3C1A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viii. All Commercial Banks (including the PSBs, Private Banks and RRBs) who are operating on the Core Banking Solutions (CBS) can avail the interest subvention under the scheme.</w:t>
      </w:r>
    </w:p>
    <w:p w14:paraId="0D59B024"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ix. In order to avail the Interest Subvention on credit extended to the SHGs @ 7%, regular subvention, all commercial banks (excluding RRBs) are required to upload the SHG loan account information on the Nodal Bank’s portal as per the required technical specification. Banks must submit the claims for 3% additional subvention on the same portal.</w:t>
      </w:r>
    </w:p>
    <w:p w14:paraId="44C7019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 The claims submitted by bank should be accompanied by a Statutory Auditor’s certificate (in original) certifying the claims for subvention as true and correct.</w:t>
      </w:r>
    </w:p>
    <w:p w14:paraId="2194AD4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lastRenderedPageBreak/>
        <w:t xml:space="preserve">xi. In order to avail the Interest Subvention on credit extended to the SHGs @ 7%, all RRBs and Cooperative Banks are required to submit their claims to respective NABARD - Regional Offices on a quarterly basis as at June, September, December and March. The claims for the last quarter should be accompanied with a Statutory Auditor’s certificate certifying the claims for the Financial Year as true and correct. The claims of any Bank for the quarter ending March will be settled by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xml:space="preserve"> only on receipt of the Statutory Audited certificate for the complete Financial Year by the Bank.</w:t>
      </w:r>
    </w:p>
    <w:p w14:paraId="5FC8A28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xii. RRBs and Cooperative Banks may submit their consolidated claims pertaining to the 3% additional subvention on disbursements made during the entire year to respective NABARD - Regional Offices latest by June every year, duly audited by Statutory Auditors certifying the correctness.</w:t>
      </w:r>
    </w:p>
    <w:p w14:paraId="2F10338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xiii. Any remaining claim pertaining to the disbursements made during the year and not included during the year, may be consolidated separately and marked as an </w:t>
      </w:r>
      <w:r w:rsidRPr="003B7CEA">
        <w:rPr>
          <w:rFonts w:ascii="Arial" w:eastAsia="Times New Roman" w:hAnsi="Arial" w:cs="Arial"/>
          <w:i/>
          <w:iCs/>
          <w:color w:val="000000"/>
          <w:sz w:val="20"/>
          <w:szCs w:val="20"/>
          <w:lang w:eastAsia="en-IN"/>
        </w:rPr>
        <w:t>'Additional Claim</w:t>
      </w:r>
      <w:r w:rsidRPr="003B7CEA">
        <w:rPr>
          <w:rFonts w:ascii="Arial" w:eastAsia="Times New Roman" w:hAnsi="Arial" w:cs="Arial"/>
          <w:color w:val="000000"/>
          <w:sz w:val="20"/>
          <w:szCs w:val="20"/>
          <w:lang w:eastAsia="en-IN"/>
        </w:rPr>
        <w:t>' and submitted to Nodal Bank (for all Commercial banks except RRBs) and NABARD Regional Offices (for all RRBs and Cooperative Banks) latest by June every year, duly audited by Statutory Auditors certifying the correctness.</w:t>
      </w:r>
    </w:p>
    <w:p w14:paraId="1B952F50"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xiv. Any corrections in claims by PSBs and </w:t>
      </w:r>
      <w:proofErr w:type="spellStart"/>
      <w:r w:rsidRPr="003B7CEA">
        <w:rPr>
          <w:rFonts w:ascii="Arial" w:eastAsia="Times New Roman" w:hAnsi="Arial" w:cs="Arial"/>
          <w:color w:val="000000"/>
          <w:sz w:val="20"/>
          <w:szCs w:val="20"/>
          <w:lang w:eastAsia="en-IN"/>
        </w:rPr>
        <w:t>Pvt.</w:t>
      </w:r>
      <w:proofErr w:type="spellEnd"/>
      <w:r w:rsidRPr="003B7CEA">
        <w:rPr>
          <w:rFonts w:ascii="Arial" w:eastAsia="Times New Roman" w:hAnsi="Arial" w:cs="Arial"/>
          <w:color w:val="000000"/>
          <w:sz w:val="20"/>
          <w:szCs w:val="20"/>
          <w:lang w:eastAsia="en-IN"/>
        </w:rPr>
        <w:t xml:space="preserve"> Sector Banks shall be adjusted from later claims based on auditor’s certificate. The corrections must be made on the nodal banks portal accordingly.</w:t>
      </w:r>
    </w:p>
    <w:p w14:paraId="4544DA2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xv. For process of submission of claims by RRBs and Cooperative Banks, detailed guidelines will be issued by NABARD</w:t>
      </w:r>
    </w:p>
    <w:p w14:paraId="7D726FBF"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II. Interest subvention scheme for Category II Districts (Other than 250 districts).</w:t>
      </w:r>
    </w:p>
    <w:p w14:paraId="2A35E135"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For category II districts, comprising of districts other than the above 250 districts, all women SHGs under DAY-NRLM will continue to be eligible for interest subvention to avail the loan facility at an interest rate of 7%. The funding for this subvention will be provided to the State Rural Livelihoods Missions (S.R.L.Ms). The State-wise distribution of the provision under this budget head would be determined each year. In the Category II districts, Banks will charge the SHGs as per their respective lending norms and the difference between the lending rates and 7% subjected to a maximum limit of 5.5%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in the loan accounts of the SHGs by the SRLM. In pursuance of the above, the salient features and the operational guidelines in respect of the interest subvention for the category II districts, are as follows:</w:t>
      </w:r>
    </w:p>
    <w:p w14:paraId="700D7A9A"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(A) Role of the Banks:</w:t>
      </w:r>
    </w:p>
    <w:p w14:paraId="502569AB"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All banks who are operating on the Core Banking Solution (CBS) are required to furnish the details of the Credit disbursement and Credit outstanding of the SHGs across all districts in the desired format as suggested by the </w:t>
      </w:r>
      <w:proofErr w:type="spellStart"/>
      <w:r w:rsidRPr="003B7CEA">
        <w:rPr>
          <w:rFonts w:ascii="Arial" w:eastAsia="Times New Roman" w:hAnsi="Arial" w:cs="Arial"/>
          <w:color w:val="000000"/>
          <w:sz w:val="20"/>
          <w:szCs w:val="20"/>
          <w:lang w:eastAsia="en-IN"/>
        </w:rPr>
        <w:t>MoRD</w:t>
      </w:r>
      <w:proofErr w:type="spellEnd"/>
      <w:r w:rsidRPr="003B7CEA">
        <w:rPr>
          <w:rFonts w:ascii="Arial" w:eastAsia="Times New Roman" w:hAnsi="Arial" w:cs="Arial"/>
          <w:color w:val="000000"/>
          <w:sz w:val="20"/>
          <w:szCs w:val="20"/>
          <w:lang w:eastAsia="en-IN"/>
        </w:rPr>
        <w:t>, directly from the CBS platform, to the Ministry of Rural Development </w:t>
      </w:r>
      <w:r w:rsidRPr="003B7CEA">
        <w:rPr>
          <w:rFonts w:ascii="Arial" w:eastAsia="Times New Roman" w:hAnsi="Arial" w:cs="Arial"/>
          <w:i/>
          <w:iCs/>
          <w:color w:val="000000"/>
          <w:sz w:val="20"/>
          <w:szCs w:val="20"/>
          <w:lang w:eastAsia="en-IN"/>
        </w:rPr>
        <w:t>(through FTP) </w:t>
      </w:r>
      <w:r w:rsidRPr="003B7CEA">
        <w:rPr>
          <w:rFonts w:ascii="Arial" w:eastAsia="Times New Roman" w:hAnsi="Arial" w:cs="Arial"/>
          <w:color w:val="000000"/>
          <w:sz w:val="20"/>
          <w:szCs w:val="20"/>
          <w:lang w:eastAsia="en-IN"/>
        </w:rPr>
        <w:t>and to the SRLMs. The information should be provided on a monthly basis to facilitate the calculation and disbursement of the Interest Subvention amount to SHGs.</w:t>
      </w:r>
    </w:p>
    <w:p w14:paraId="4653AB8C"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7CEA">
        <w:rPr>
          <w:rFonts w:ascii="Arial" w:eastAsia="Times New Roman" w:hAnsi="Arial" w:cs="Arial"/>
          <w:b/>
          <w:bCs/>
          <w:color w:val="000000"/>
          <w:sz w:val="20"/>
          <w:szCs w:val="20"/>
          <w:lang w:eastAsia="en-IN"/>
        </w:rPr>
        <w:t>B) Role of the State Governments:</w:t>
      </w:r>
    </w:p>
    <w:p w14:paraId="12E8FF51"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B7CEA">
        <w:rPr>
          <w:rFonts w:ascii="Arial" w:eastAsia="Times New Roman" w:hAnsi="Arial" w:cs="Arial"/>
          <w:color w:val="000000"/>
          <w:sz w:val="20"/>
          <w:szCs w:val="20"/>
          <w:lang w:eastAsia="en-IN"/>
        </w:rPr>
        <w:t>i</w:t>
      </w:r>
      <w:proofErr w:type="spellEnd"/>
      <w:r w:rsidRPr="003B7CEA">
        <w:rPr>
          <w:rFonts w:ascii="Arial" w:eastAsia="Times New Roman" w:hAnsi="Arial" w:cs="Arial"/>
          <w:color w:val="000000"/>
          <w:sz w:val="20"/>
          <w:szCs w:val="20"/>
          <w:lang w:eastAsia="en-IN"/>
        </w:rPr>
        <w:t>. All women SHGs, comprising of more than 70% BPL or rural poor members (rural poor as per the Participatory Identification Process) are regarded as SHGs under DAY-NRLM. Such SHGs, comprising of rural poor members from the intended DAY-NRLM target group will be eligible for interest subvention on credit up to ₹ 3 lakhs at the rate of 7% per annum on prompt repayment.</w:t>
      </w:r>
    </w:p>
    <w:p w14:paraId="0F9777A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ii. This scheme will be implemented by the State Rural Livelihood Missions (SRLMs). SRLMs will provide interest subvention to the eligible SHGs who have accessed loan from Commercial and Cooperative Banks. The funding for this subvention will be met out of the Central Allocation: State Contribution in the ratio of 75:25.</w:t>
      </w:r>
    </w:p>
    <w:p w14:paraId="40D62878"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 xml:space="preserve">iii. The SHGs will be </w:t>
      </w:r>
      <w:proofErr w:type="spellStart"/>
      <w:r w:rsidRPr="003B7CEA">
        <w:rPr>
          <w:rFonts w:ascii="Arial" w:eastAsia="Times New Roman" w:hAnsi="Arial" w:cs="Arial"/>
          <w:color w:val="000000"/>
          <w:sz w:val="20"/>
          <w:szCs w:val="20"/>
          <w:lang w:eastAsia="en-IN"/>
        </w:rPr>
        <w:t>subvented</w:t>
      </w:r>
      <w:proofErr w:type="spellEnd"/>
      <w:r w:rsidRPr="003B7CEA">
        <w:rPr>
          <w:rFonts w:ascii="Arial" w:eastAsia="Times New Roman" w:hAnsi="Arial" w:cs="Arial"/>
          <w:color w:val="000000"/>
          <w:sz w:val="20"/>
          <w:szCs w:val="20"/>
          <w:lang w:eastAsia="en-IN"/>
        </w:rPr>
        <w:t xml:space="preserve"> with the extent of difference between the lending Rate of the banks and 7% subjected to a maximum limit of 5.5% by the SRLMs, directly on a monthly / quarterly basis. An e-</w:t>
      </w:r>
      <w:r w:rsidRPr="003B7CEA">
        <w:rPr>
          <w:rFonts w:ascii="Arial" w:eastAsia="Times New Roman" w:hAnsi="Arial" w:cs="Arial"/>
          <w:color w:val="000000"/>
          <w:sz w:val="20"/>
          <w:szCs w:val="20"/>
          <w:lang w:eastAsia="en-IN"/>
        </w:rPr>
        <w:lastRenderedPageBreak/>
        <w:t>transfer of the subvention amount will be made by the SRLM to the loan accounts of the SHGs who have repaid promptly.</w:t>
      </w:r>
    </w:p>
    <w:p w14:paraId="72DB6586"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iv. Women SHGs who have availed capital subsidy under SGSY in their existing loans, will not be eligible for benefit of Interest Subvention for their subsisting loan under this scheme.</w:t>
      </w:r>
    </w:p>
    <w:p w14:paraId="65D2AF07" w14:textId="77777777" w:rsidR="00CC4E32" w:rsidRPr="003B7CEA"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v. SRLMs should submit Quarterly Utilization Certificate indicating subvention amounts transferred to the Loan accounts of the eligible SHGs</w:t>
      </w:r>
    </w:p>
    <w:p w14:paraId="5E91885E" w14:textId="77777777" w:rsidR="00CC4E32"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7CEA">
        <w:rPr>
          <w:rFonts w:ascii="Arial" w:eastAsia="Times New Roman" w:hAnsi="Arial" w:cs="Arial"/>
          <w:color w:val="000000"/>
          <w:sz w:val="20"/>
          <w:szCs w:val="20"/>
          <w:lang w:eastAsia="en-IN"/>
        </w:rPr>
        <w:t>The States with state specific interest subvention schemes are advised to. harmonize their guidelines with the Central scheme.</w:t>
      </w:r>
    </w:p>
    <w:p w14:paraId="10295C69" w14:textId="77777777" w:rsidR="00CC4E32" w:rsidRDefault="003F25F1" w:rsidP="00CC4E32">
      <w:hyperlink r:id="rId18" w:history="1">
        <w:r w:rsidR="00CC4E32" w:rsidRPr="00BE2065">
          <w:rPr>
            <w:rStyle w:val="Hyperlink"/>
          </w:rPr>
          <w:t>https://rbidocs.rbi.org.in/rdocs/notification/PDFs/4MC01072019506189EF9A684645AF078EAA43E6BFC5.PDF</w:t>
        </w:r>
      </w:hyperlink>
    </w:p>
    <w:p w14:paraId="1DCAEEF4" w14:textId="77777777" w:rsidR="00CC4E32"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31AD9205" w14:textId="619ECCD3" w:rsidR="00CC4E32" w:rsidRPr="002516EE" w:rsidRDefault="00CC4E32"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RBI/2019-20/05</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FIDD.GSSD.CO.BC.No.01/09.16.03/2019-20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July 01, 2019</w:t>
      </w:r>
    </w:p>
    <w:p w14:paraId="6AC7A1B4" w14:textId="41C12726" w:rsidR="00CC4E32" w:rsidRPr="00322DC1" w:rsidRDefault="00CC4E32" w:rsidP="00CC4E3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Chairman &amp; Managing Director/CEO</w:t>
      </w:r>
      <w:r w:rsidR="002516EE">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All Scheduled Commercial Banks &amp;</w:t>
      </w:r>
      <w:r w:rsidR="002516EE">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Small Finance Banks</w:t>
      </w:r>
    </w:p>
    <w:p w14:paraId="3F9852A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 xml:space="preserve">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 National Urban Livelihoods Mission (DAY-NULM)</w:t>
      </w:r>
    </w:p>
    <w:p w14:paraId="51A6889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 xml:space="preserve">Master Circular: 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National Urban Livelihoods Mission (DAY-NULM)</w:t>
      </w:r>
    </w:p>
    <w:p w14:paraId="7CD3A34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Background</w:t>
      </w:r>
    </w:p>
    <w:p w14:paraId="5E2B0BF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Government of India, Ministry of Housing and Urban Poverty Alleviation (</w:t>
      </w:r>
      <w:proofErr w:type="spellStart"/>
      <w:r w:rsidRPr="00322DC1">
        <w:rPr>
          <w:rFonts w:ascii="Arial" w:eastAsia="Times New Roman" w:hAnsi="Arial" w:cs="Arial"/>
          <w:color w:val="000000"/>
          <w:sz w:val="20"/>
          <w:szCs w:val="20"/>
          <w:lang w:eastAsia="en-IN"/>
        </w:rPr>
        <w:t>MoHUPA</w:t>
      </w:r>
      <w:proofErr w:type="spellEnd"/>
      <w:r w:rsidRPr="00322DC1">
        <w:rPr>
          <w:rFonts w:ascii="Arial" w:eastAsia="Times New Roman" w:hAnsi="Arial" w:cs="Arial"/>
          <w:color w:val="000000"/>
          <w:sz w:val="20"/>
          <w:szCs w:val="20"/>
          <w:lang w:eastAsia="en-IN"/>
        </w:rPr>
        <w:t xml:space="preserve">), restructured the existing Swarna Jayanti </w:t>
      </w:r>
      <w:proofErr w:type="spellStart"/>
      <w:r w:rsidRPr="00322DC1">
        <w:rPr>
          <w:rFonts w:ascii="Arial" w:eastAsia="Times New Roman" w:hAnsi="Arial" w:cs="Arial"/>
          <w:color w:val="000000"/>
          <w:sz w:val="20"/>
          <w:szCs w:val="20"/>
          <w:lang w:eastAsia="en-IN"/>
        </w:rPr>
        <w:t>Shahari</w:t>
      </w:r>
      <w:proofErr w:type="spellEnd"/>
      <w:r w:rsidRPr="00322DC1">
        <w:rPr>
          <w:rFonts w:ascii="Arial" w:eastAsia="Times New Roman" w:hAnsi="Arial" w:cs="Arial"/>
          <w:color w:val="000000"/>
          <w:sz w:val="20"/>
          <w:szCs w:val="20"/>
          <w:lang w:eastAsia="en-IN"/>
        </w:rPr>
        <w:t xml:space="preserve"> Rozgar Yojana (SJSRY) and launched the National Urban Livelihoods Mission (NULM) in 2013. NULM has been under implementation w.e.f. September 24, 2013 in all district headquarters (irrespective of population) and all the cities with population of 1 lakh or more.</w:t>
      </w:r>
    </w:p>
    <w:p w14:paraId="3476FFA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Ministry of Housing and Urban Poverty Alleviation (UPA Division), Government of India vide their Office Memorandum No.K-14011/2/2012-UPA/FTS-5196 dated February 19, 2016 has enhanced the scope of National Urban Livelihoods Mission. The Mission with enhanced scope was renamed as </w:t>
      </w:r>
      <w:r w:rsidRPr="00322DC1">
        <w:rPr>
          <w:rFonts w:ascii="Arial" w:eastAsia="Times New Roman" w:hAnsi="Arial" w:cs="Arial"/>
          <w:b/>
          <w:bCs/>
          <w:color w:val="000000"/>
          <w:sz w:val="20"/>
          <w:szCs w:val="20"/>
          <w:lang w:eastAsia="en-IN"/>
        </w:rPr>
        <w:t xml:space="preserve">“Deendayal </w:t>
      </w:r>
      <w:proofErr w:type="spellStart"/>
      <w:r w:rsidRPr="00322DC1">
        <w:rPr>
          <w:rFonts w:ascii="Arial" w:eastAsia="Times New Roman" w:hAnsi="Arial" w:cs="Arial"/>
          <w:b/>
          <w:bCs/>
          <w:color w:val="000000"/>
          <w:sz w:val="20"/>
          <w:szCs w:val="20"/>
          <w:lang w:eastAsia="en-IN"/>
        </w:rPr>
        <w:t>Antyodaya</w:t>
      </w:r>
      <w:proofErr w:type="spellEnd"/>
      <w:r w:rsidRPr="00322DC1">
        <w:rPr>
          <w:rFonts w:ascii="Arial" w:eastAsia="Times New Roman" w:hAnsi="Arial" w:cs="Arial"/>
          <w:b/>
          <w:bCs/>
          <w:color w:val="000000"/>
          <w:sz w:val="20"/>
          <w:szCs w:val="20"/>
          <w:lang w:eastAsia="en-IN"/>
        </w:rPr>
        <w:t xml:space="preserve"> Yojana -National Urban Livelihoods Mission (DAY-NULM)”.</w:t>
      </w:r>
    </w:p>
    <w:p w14:paraId="5439E22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operational guidelines of the Self Employment Program (SEP) component of DAY-NULM are as under:</w:t>
      </w:r>
    </w:p>
    <w:p w14:paraId="4BA71A5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 Introduction:</w:t>
      </w:r>
    </w:p>
    <w:p w14:paraId="64AA395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14:paraId="7166D89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lastRenderedPageBreak/>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14:paraId="118FB06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 The percentage of women beneficiaries under SEP shall not be less than 30 percent. SCs and STs must be benefited at least to the extent of the proportion of their strength in the city/town population of poor. A special provision of 3 percent reservation should be made for the differently-abled under this program. In view of the Prime Minister’s 15-Point Program for the Welfare of Minorities, at least 15 percent of the physical and financial targets under this component shall be earmarked for the minority communities.</w:t>
      </w:r>
    </w:p>
    <w:p w14:paraId="506E7AF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2. Selection of Beneficiary &amp; Procedure for Sponsoring Applications:</w:t>
      </w:r>
    </w:p>
    <w:p w14:paraId="396F332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w:t>
      </w:r>
      <w:proofErr w:type="spellStart"/>
      <w:r w:rsidRPr="00322DC1">
        <w:rPr>
          <w:rFonts w:ascii="Arial" w:eastAsia="Times New Roman" w:hAnsi="Arial" w:cs="Arial"/>
          <w:color w:val="000000"/>
          <w:sz w:val="20"/>
          <w:szCs w:val="20"/>
          <w:lang w:eastAsia="en-IN"/>
        </w:rPr>
        <w:t>empaneled</w:t>
      </w:r>
      <w:proofErr w:type="spellEnd"/>
      <w:r w:rsidRPr="00322DC1">
        <w:rPr>
          <w:rFonts w:ascii="Arial" w:eastAsia="Times New Roman" w:hAnsi="Arial" w:cs="Arial"/>
          <w:color w:val="000000"/>
          <w:sz w:val="20"/>
          <w:szCs w:val="20"/>
          <w:lang w:eastAsia="en-IN"/>
        </w:rPr>
        <w:t xml:space="preserve"> Business Correspondents (BCs) and Business Facilitators (BFs) to increase the outreach. Due diligence will be undertaken as per the Banks’ policy, in this regard.</w:t>
      </w:r>
    </w:p>
    <w:p w14:paraId="7A09996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 The application for individual and group enterprise loans will be sponsored by the Urban Local Body (ULB) which will be the sponsoring agency for the individual and group enterprise.</w:t>
      </w:r>
    </w:p>
    <w:p w14:paraId="5D4F26D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14:paraId="4092BE5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2.3 The beneficiaries desirous of seeking financial assistance for setting up an enterprise can submit an application of intent to the concerned ULB officials on a plain paper with basic details viz: Name, Age, Contact details, Address, Aadhaar details (if any), amount of loan required, bank account number (if available), type of enterprise/ activity, category etc. The intent could also be sent by mail /post to the ULB office. The ULB shall accept such intents throughout the year.</w:t>
      </w:r>
    </w:p>
    <w:p w14:paraId="589C98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2.4 The community structures formed under Social Mobilization &amp; Institutional Development (SM&amp;ID) component of DAY-NULM viz: Self Help Groups (SHGs)/ Area Level Federations (ALFs) may also refer prospective individual and group entrepreneurs for purpose of financial assistance under SEP to ULB.</w:t>
      </w:r>
    </w:p>
    <w:p w14:paraId="0A9CB76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14:paraId="3933852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2.6 ULB will call the beneficiaries in order of the waiting list to complete requisite documentation including filling of Loan Application Form (LAF), activity details, identity proof, address proof, bank account details etc. To verify the identity of the beneficiary, her/his Aadhar number will also be brought on record. If beneficiary does not have Aadhaar card, his/ her any other unique identification document like voters’ card, driving license etc. will be taken and s/he will be helped to obtain Aadhar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14:paraId="0887707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lastRenderedPageBreak/>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14:paraId="4EF1B25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2.8 The Chief Executive Officer (CEO)/ Municipal Commissioner of ULB will be responsible to constitute the Task Force and will be the Chairman of the Task force. There could be more than 1 task force at ULB level depending upon the size/population of the ULB.</w:t>
      </w:r>
    </w:p>
    <w:p w14:paraId="2954514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2.9 The indicative composition of the Task Force is as follows:</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36"/>
        <w:gridCol w:w="5744"/>
        <w:gridCol w:w="1379"/>
      </w:tblGrid>
      <w:tr w:rsidR="00CC4E32" w:rsidRPr="00322DC1" w14:paraId="410AC553" w14:textId="77777777" w:rsidTr="002B7054">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2C00E08" w14:textId="77777777" w:rsidR="00CC4E32" w:rsidRPr="00322DC1" w:rsidRDefault="00CC4E32" w:rsidP="002B7054">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Sr. No.</w:t>
            </w:r>
          </w:p>
        </w:tc>
        <w:tc>
          <w:tcPr>
            <w:tcW w:w="37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CE70393" w14:textId="77777777" w:rsidR="00CC4E32" w:rsidRPr="00322DC1" w:rsidRDefault="00CC4E32" w:rsidP="002B7054">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TASK Force at ULB level</w:t>
            </w:r>
          </w:p>
        </w:tc>
        <w:tc>
          <w:tcPr>
            <w:tcW w:w="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58100DD" w14:textId="77777777" w:rsidR="00CC4E32" w:rsidRPr="00322DC1" w:rsidRDefault="00CC4E32" w:rsidP="002B7054">
            <w:pPr>
              <w:spacing w:after="0"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Role</w:t>
            </w:r>
          </w:p>
        </w:tc>
      </w:tr>
      <w:tr w:rsidR="00CC4E32" w:rsidRPr="00322DC1" w14:paraId="2A235CA5"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540CCFB"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048C21"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Chief Executive Officer (CEO) ULB/ Municipal Commissioner of ULB/ or any representative authorized by CEO ULB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380AABF"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Chairman</w:t>
            </w:r>
          </w:p>
        </w:tc>
      </w:tr>
      <w:tr w:rsidR="00CC4E32" w:rsidRPr="00322DC1" w14:paraId="37AF85D3"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9A5F824"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F2D3A85"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Lead District Manager (LDM)</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52AD80E"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CC4E32" w:rsidRPr="00322DC1" w14:paraId="023DFAA9"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3ADC957"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D11F8B5"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City Project Officer (CPO), ULB/ or any authorized representative of ULB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57EF305"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 Convenor</w:t>
            </w:r>
          </w:p>
        </w:tc>
      </w:tr>
      <w:tr w:rsidR="00CC4E32" w:rsidRPr="00322DC1" w14:paraId="02B2B532"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EC5D1D4"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60F80D8"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Representative from District Industries Centre (DIC)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CEAC3F"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CC4E32" w:rsidRPr="00322DC1" w14:paraId="5AEAFE80"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CDDFD82"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B531C81"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Senior Branch Managers (Max-2) of banks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E7934CB"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r w:rsidR="00CC4E32" w:rsidRPr="00322DC1" w14:paraId="2288DEFD"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4325B88"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AEE1A85" w14:textId="77777777" w:rsidR="00CC4E32" w:rsidRPr="00322DC1" w:rsidRDefault="00CC4E32" w:rsidP="002B7054">
            <w:pPr>
              <w:spacing w:after="0"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Representatives(2) of Area Level Federation / City Level Federation</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7C16F1" w14:textId="77777777" w:rsidR="00CC4E32" w:rsidRPr="00322DC1" w:rsidRDefault="00CC4E32" w:rsidP="002B7054">
            <w:pPr>
              <w:spacing w:after="0" w:line="240" w:lineRule="auto"/>
              <w:jc w:val="center"/>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Member</w:t>
            </w:r>
          </w:p>
        </w:tc>
      </w:tr>
    </w:tbl>
    <w:p w14:paraId="77DF55A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2.10 The task force will then recommend the applications if found suitable, reject if found unsuitable or ask the beneficiary to submit further requisite information for re-examination on case to case basis.</w:t>
      </w:r>
    </w:p>
    <w:p w14:paraId="4DE65F1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14:paraId="19DA7A1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2.12 The banks will send a periodic report to the ULB on the status of the applications received. In case of MIS being used, the banks may be allowed to update the status of application online in addition to manual report.</w:t>
      </w:r>
    </w:p>
    <w:p w14:paraId="6D8A15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2.13 Banks may also directly accept the loan applications of urban poor beneficiaries on the basis of relevant documents as per the guidelines of Prime Minister MUDRA Yojana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14:paraId="6571415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3. Educational Qualifications and Training Requirement:</w:t>
      </w:r>
    </w:p>
    <w:p w14:paraId="44E4714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14:paraId="0ADBC13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3.1 Employment through Skills Training and Placement (EST&amp;P):</w:t>
      </w:r>
      <w:r w:rsidRPr="00322DC1">
        <w:rPr>
          <w:rFonts w:ascii="Arial" w:eastAsia="Times New Roman" w:hAnsi="Arial" w:cs="Arial"/>
          <w:color w:val="000000"/>
          <w:sz w:val="20"/>
          <w:szCs w:val="20"/>
          <w:lang w:eastAsia="en-IN"/>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14:paraId="2B90027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lastRenderedPageBreak/>
        <w:t>3.2 Entrepreneurship Development Program (EDP):</w:t>
      </w:r>
      <w:r w:rsidRPr="00322DC1">
        <w:rPr>
          <w:rFonts w:ascii="Arial" w:eastAsia="Times New Roman" w:hAnsi="Arial" w:cs="Arial"/>
          <w:color w:val="000000"/>
          <w:sz w:val="20"/>
          <w:szCs w:val="20"/>
          <w:lang w:eastAsia="en-IN"/>
        </w:rPr>
        <w:t> 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14:paraId="4EBB84D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3.3 The EDP module may be developed and finalized by State Urban Livelihoods Mission (SULM) supported by State Mission Management Unit (SMMU) with assistance of an </w:t>
      </w:r>
      <w:proofErr w:type="spellStart"/>
      <w:r w:rsidRPr="00322DC1">
        <w:rPr>
          <w:rFonts w:ascii="Arial" w:eastAsia="Times New Roman" w:hAnsi="Arial" w:cs="Arial"/>
          <w:color w:val="000000"/>
          <w:sz w:val="20"/>
          <w:szCs w:val="20"/>
          <w:lang w:eastAsia="en-IN"/>
        </w:rPr>
        <w:t>empaneled</w:t>
      </w:r>
      <w:proofErr w:type="spellEnd"/>
      <w:r w:rsidRPr="00322DC1">
        <w:rPr>
          <w:rFonts w:ascii="Arial" w:eastAsia="Times New Roman" w:hAnsi="Arial" w:cs="Arial"/>
          <w:color w:val="000000"/>
          <w:sz w:val="20"/>
          <w:szCs w:val="20"/>
          <w:lang w:eastAsia="en-IN"/>
        </w:rPr>
        <w:t xml:space="preserve">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14:paraId="0AE5193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3.4 Follow-up entrepreneurial support to Individual and Group entrepreneurs:</w:t>
      </w:r>
      <w:r w:rsidRPr="00322DC1">
        <w:rPr>
          <w:rFonts w:ascii="Arial" w:eastAsia="Times New Roman" w:hAnsi="Arial" w:cs="Arial"/>
          <w:color w:val="000000"/>
          <w:sz w:val="20"/>
          <w:szCs w:val="20"/>
          <w:lang w:eastAsia="en-IN"/>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14:paraId="1205CB7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4. Pattern of Financial Assistance:</w:t>
      </w:r>
    </w:p>
    <w:p w14:paraId="035A942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14:paraId="44F3724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5. Procedure for interest subsidy to Banks:</w:t>
      </w:r>
    </w:p>
    <w:p w14:paraId="4A7468F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5.1 All scheduled commercial banks (SCBs) and Small Finance Banks which are on the Core Banking Solution (CBS) platform would be eligible for getting interest subvention under the scheme.</w:t>
      </w:r>
    </w:p>
    <w:p w14:paraId="6EEB644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5.2 After disbursement of loan to the beneficiaries, the concerned branch of the bank will send details of disbursed loan cases to ULB along with details of interest subsidy amount.</w:t>
      </w:r>
    </w:p>
    <w:p w14:paraId="5773F45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Procedure I</w:t>
      </w:r>
    </w:p>
    <w:p w14:paraId="16720FD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5.3 The settlement of claims made by banks would be done on quarterly basis by the ULBs, however the submission of claims should be monthly. The ULB will check the data at their end and will release the interest subsidy amount (difference between 7% p.a. and prevailing rate of interest) to the banks.</w:t>
      </w:r>
    </w:p>
    <w:p w14:paraId="30D586B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5.4 A prescribed format for interest subsidy claims for loans under this component is enclosed at (</w:t>
      </w:r>
      <w:hyperlink r:id="rId19" w:anchor="A_1" w:history="1">
        <w:r w:rsidRPr="00322DC1">
          <w:rPr>
            <w:rFonts w:ascii="Arial" w:eastAsia="Times New Roman" w:hAnsi="Arial" w:cs="Arial"/>
            <w:color w:val="0000FF"/>
            <w:sz w:val="20"/>
            <w:szCs w:val="20"/>
            <w:u w:val="single"/>
            <w:lang w:eastAsia="en-IN"/>
          </w:rPr>
          <w:t>Annex-I</w:t>
        </w:r>
      </w:hyperlink>
      <w:r w:rsidRPr="00322DC1">
        <w:rPr>
          <w:rFonts w:ascii="Arial" w:eastAsia="Times New Roman" w:hAnsi="Arial" w:cs="Arial"/>
          <w:color w:val="000000"/>
          <w:sz w:val="20"/>
          <w:szCs w:val="20"/>
          <w:lang w:eastAsia="en-IN"/>
        </w:rPr>
        <w:t>)</w:t>
      </w:r>
    </w:p>
    <w:p w14:paraId="0A9DE06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14:paraId="65B621D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lastRenderedPageBreak/>
        <w:t>Procedure - II</w:t>
      </w:r>
    </w:p>
    <w:p w14:paraId="173DE45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5.6 Settlement of Claims:</w:t>
      </w:r>
      <w:r w:rsidRPr="00322DC1">
        <w:rPr>
          <w:rFonts w:ascii="Arial" w:eastAsia="Times New Roman" w:hAnsi="Arial" w:cs="Arial"/>
          <w:color w:val="000000"/>
          <w:sz w:val="20"/>
          <w:szCs w:val="20"/>
          <w:lang w:eastAsia="en-IN"/>
        </w:rPr>
        <w:t> Nodal Agency for releasing interest subsidy: A public sector bank may be engaged by each State as nodal bank in consultation with the convener of the respective State Level Bankers’ Committee (SLBC). All the Banks will consolidate data regarding interest subsidy from their branches and upload on the portal of Nodal Bank. The nodal bank, after verification, will transfer the interest subsidy to the bank branches. The State/UT will deposit some funds in advance with the nodal bank, which will release funds to the bank branches as per guidelines of the DAY-NULM. Nodal bank will regularly render account of reimbursement to the SULM. This procedure will be followed in all three types of loans i.e. SEP (I), SEP (G) and SHG-Bank Linkage.</w:t>
      </w:r>
    </w:p>
    <w:p w14:paraId="3C6DBB4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6. Individual Enterprises (SEP-I)-Loan &amp; Subsidy</w:t>
      </w:r>
    </w:p>
    <w:p w14:paraId="58B5FB7D"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An urban poor individual beneficiary desirous of setting up an individual micro-enterprise for self-employment can avail benefit of subsidized loan under this component from any bank. The norms/ specifications for individual micro-enterprise loans are as follows:</w:t>
      </w:r>
    </w:p>
    <w:p w14:paraId="587DD7C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6.1 Age:</w:t>
      </w:r>
      <w:r w:rsidRPr="00322DC1">
        <w:rPr>
          <w:rFonts w:ascii="Arial" w:eastAsia="Times New Roman" w:hAnsi="Arial" w:cs="Arial"/>
          <w:color w:val="000000"/>
          <w:sz w:val="20"/>
          <w:szCs w:val="20"/>
          <w:lang w:eastAsia="en-IN"/>
        </w:rPr>
        <w:t> The prospective beneficiary should have attained the age of 18 Years at the time of applying for loan.</w:t>
      </w:r>
    </w:p>
    <w:p w14:paraId="6ECCDB2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6.2 Project Cost (PC):</w:t>
      </w:r>
      <w:r w:rsidRPr="00322DC1">
        <w:rPr>
          <w:rFonts w:ascii="Arial" w:eastAsia="Times New Roman" w:hAnsi="Arial" w:cs="Arial"/>
          <w:color w:val="000000"/>
          <w:sz w:val="20"/>
          <w:szCs w:val="20"/>
          <w:lang w:eastAsia="en-IN"/>
        </w:rPr>
        <w:t> The Maximum unit Project Cost for an individual micro-enterprise is ₹ 2,00,000 (₹ Two Lakhs).</w:t>
      </w:r>
    </w:p>
    <w:p w14:paraId="4400D89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6.3 Collateral Guarantee on Bank Loan:</w:t>
      </w:r>
      <w:r w:rsidRPr="00322DC1">
        <w:rPr>
          <w:rFonts w:ascii="Arial" w:eastAsia="Times New Roman" w:hAnsi="Arial" w:cs="Arial"/>
          <w:color w:val="000000"/>
          <w:sz w:val="20"/>
          <w:szCs w:val="20"/>
          <w:lang w:eastAsia="en-IN"/>
        </w:rPr>
        <w:t> No collateral required. As per RBI </w:t>
      </w:r>
      <w:hyperlink r:id="rId20" w:tgtFrame="_blank" w:history="1">
        <w:r w:rsidRPr="00322DC1">
          <w:rPr>
            <w:rFonts w:ascii="Arial" w:eastAsia="Times New Roman" w:hAnsi="Arial" w:cs="Arial"/>
            <w:color w:val="0000FF"/>
            <w:sz w:val="20"/>
            <w:szCs w:val="20"/>
            <w:u w:val="single"/>
            <w:lang w:eastAsia="en-IN"/>
          </w:rPr>
          <w:t>Circular RPCD.SME &amp; NFS.BC.No.79/06.02.31/2009-10 dated May 6, 2010</w:t>
        </w:r>
      </w:hyperlink>
      <w:r w:rsidRPr="00322DC1">
        <w:rPr>
          <w:rFonts w:ascii="Arial" w:eastAsia="Times New Roman" w:hAnsi="Arial" w:cs="Arial"/>
          <w:color w:val="000000"/>
          <w:sz w:val="20"/>
          <w:szCs w:val="20"/>
          <w:lang w:eastAsia="en-IN"/>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14:paraId="6F81D5E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6.4 Repayment:</w:t>
      </w:r>
      <w:r w:rsidRPr="00322DC1">
        <w:rPr>
          <w:rFonts w:ascii="Arial" w:eastAsia="Times New Roman" w:hAnsi="Arial" w:cs="Arial"/>
          <w:color w:val="000000"/>
          <w:sz w:val="20"/>
          <w:szCs w:val="20"/>
          <w:lang w:eastAsia="en-IN"/>
        </w:rPr>
        <w:t> Repayment schedule would range between 5 to 7 Years after initial moratorium of 6-18 months as per norms of the banks.</w:t>
      </w:r>
    </w:p>
    <w:p w14:paraId="62F899F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6.5 Margin Money:</w:t>
      </w:r>
      <w:r w:rsidRPr="00322DC1">
        <w:rPr>
          <w:rFonts w:ascii="Arial" w:eastAsia="Times New Roman" w:hAnsi="Arial" w:cs="Arial"/>
          <w:color w:val="000000"/>
          <w:sz w:val="20"/>
          <w:szCs w:val="20"/>
          <w:lang w:eastAsia="en-IN"/>
        </w:rPr>
        <w:t> No margin money should be taken for a loan up to ₹ 50,000 and for higher amount loans, preferably 5% should be taken as margin money and it should in no case be more than 10% of the project cost.</w:t>
      </w:r>
    </w:p>
    <w:p w14:paraId="7638AEC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6.6 Type of Loan Facility:</w:t>
      </w:r>
      <w:r w:rsidRPr="00322DC1">
        <w:rPr>
          <w:rFonts w:ascii="Arial" w:eastAsia="Times New Roman" w:hAnsi="Arial" w:cs="Arial"/>
          <w:color w:val="000000"/>
          <w:sz w:val="20"/>
          <w:szCs w:val="20"/>
          <w:lang w:eastAsia="en-IN"/>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14:paraId="77957AF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7. Group Enterprises (SEP-G) -Loan &amp; Subsidy</w:t>
      </w:r>
    </w:p>
    <w:p w14:paraId="3C9AD64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14:paraId="1B1A5FF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7.1 Eligibility Criteria:</w:t>
      </w:r>
      <w:r w:rsidRPr="00322DC1">
        <w:rPr>
          <w:rFonts w:ascii="Arial" w:eastAsia="Times New Roman" w:hAnsi="Arial" w:cs="Arial"/>
          <w:color w:val="000000"/>
          <w:sz w:val="20"/>
          <w:szCs w:val="20"/>
          <w:lang w:eastAsia="en-IN"/>
        </w:rPr>
        <w:t> The group enterprises should have minimum of Three (3) members with a minimum of 70% of the members from urban poor families. More than one person from the same family should not be included in the same group.</w:t>
      </w:r>
    </w:p>
    <w:p w14:paraId="5DDF82B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7.2 Age:</w:t>
      </w:r>
      <w:r w:rsidRPr="00322DC1">
        <w:rPr>
          <w:rFonts w:ascii="Arial" w:eastAsia="Times New Roman" w:hAnsi="Arial" w:cs="Arial"/>
          <w:color w:val="000000"/>
          <w:sz w:val="20"/>
          <w:szCs w:val="20"/>
          <w:lang w:eastAsia="en-IN"/>
        </w:rPr>
        <w:t> All members of the group enterprise should have attained an age of 18 years at the time of applying for bank loan.</w:t>
      </w:r>
    </w:p>
    <w:p w14:paraId="62A631A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lastRenderedPageBreak/>
        <w:t>7.3 Project Cost (PC):</w:t>
      </w:r>
      <w:r w:rsidRPr="00322DC1">
        <w:rPr>
          <w:rFonts w:ascii="Arial" w:eastAsia="Times New Roman" w:hAnsi="Arial" w:cs="Arial"/>
          <w:color w:val="000000"/>
          <w:sz w:val="20"/>
          <w:szCs w:val="20"/>
          <w:lang w:eastAsia="en-IN"/>
        </w:rPr>
        <w:t> The group will be eligible for a maximum loan of Rs. 2 Lakh per member or Rs. 10 Lakh, whichever is lower.</w:t>
      </w:r>
    </w:p>
    <w:p w14:paraId="1CCB634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7.4 Type of Loan:</w:t>
      </w:r>
      <w:r w:rsidRPr="00322DC1">
        <w:rPr>
          <w:rFonts w:ascii="Arial" w:eastAsia="Times New Roman" w:hAnsi="Arial" w:cs="Arial"/>
          <w:color w:val="000000"/>
          <w:sz w:val="20"/>
          <w:szCs w:val="20"/>
          <w:lang w:eastAsia="en-IN"/>
        </w:rPr>
        <w:t xml:space="preserve">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‘Bhoomi </w:t>
      </w:r>
      <w:proofErr w:type="spellStart"/>
      <w:r w:rsidRPr="00322DC1">
        <w:rPr>
          <w:rFonts w:ascii="Arial" w:eastAsia="Times New Roman" w:hAnsi="Arial" w:cs="Arial"/>
          <w:color w:val="000000"/>
          <w:sz w:val="20"/>
          <w:szCs w:val="20"/>
          <w:lang w:eastAsia="en-IN"/>
        </w:rPr>
        <w:t>Heen</w:t>
      </w:r>
      <w:proofErr w:type="spellEnd"/>
      <w:r w:rsidRPr="00322DC1">
        <w:rPr>
          <w:rFonts w:ascii="Arial" w:eastAsia="Times New Roman" w:hAnsi="Arial" w:cs="Arial"/>
          <w:color w:val="000000"/>
          <w:sz w:val="20"/>
          <w:szCs w:val="20"/>
          <w:lang w:eastAsia="en-IN"/>
        </w:rPr>
        <w:t xml:space="preserve"> Kisan’ dated 13th November, 2014” and subsequent revisions should be followed in case of loans to a group.</w:t>
      </w:r>
    </w:p>
    <w:p w14:paraId="41AB861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7.5 Type of Loan Facility:</w:t>
      </w:r>
      <w:r w:rsidRPr="00322DC1">
        <w:rPr>
          <w:rFonts w:ascii="Arial" w:eastAsia="Times New Roman" w:hAnsi="Arial" w:cs="Arial"/>
          <w:color w:val="000000"/>
          <w:sz w:val="20"/>
          <w:szCs w:val="20"/>
          <w:lang w:eastAsia="en-IN"/>
        </w:rPr>
        <w:t> Banks may extend finance to groups for capital expenditure in the form of Term Loan and for Working Capital, through Cash Credit Facility. Banks may also extend Composite Loans for Capital Expenditure and Working Capital, depending upon Group’s requirement.</w:t>
      </w:r>
    </w:p>
    <w:p w14:paraId="6C42D84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7.6 Loan and Margin Money:</w:t>
      </w:r>
      <w:r w:rsidRPr="00322DC1">
        <w:rPr>
          <w:rFonts w:ascii="Arial" w:eastAsia="Times New Roman" w:hAnsi="Arial" w:cs="Arial"/>
          <w:color w:val="000000"/>
          <w:sz w:val="20"/>
          <w:szCs w:val="20"/>
          <w:lang w:eastAsia="en-IN"/>
        </w:rPr>
        <w:t> The Project Cost minus the beneficiary contribution (Margin Money) would be made available as loan amount to the group enterprise by the bank. No margin money should be taken for loan up to ₹ 50,000 and for higher amount loans, preferably 5% should be taken as margin money and it should in no case be more than 10% of the project cost.</w:t>
      </w:r>
    </w:p>
    <w:p w14:paraId="5B70B63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7.7 Collateral Guarantee on Bank Loan:</w:t>
      </w:r>
      <w:r w:rsidRPr="00322DC1">
        <w:rPr>
          <w:rFonts w:ascii="Arial" w:eastAsia="Times New Roman" w:hAnsi="Arial" w:cs="Arial"/>
          <w:color w:val="000000"/>
          <w:sz w:val="20"/>
          <w:szCs w:val="20"/>
          <w:lang w:eastAsia="en-IN"/>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14:paraId="0E0A8D3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7.8 Repayment:</w:t>
      </w:r>
      <w:r w:rsidRPr="00322DC1">
        <w:rPr>
          <w:rFonts w:ascii="Arial" w:eastAsia="Times New Roman" w:hAnsi="Arial" w:cs="Arial"/>
          <w:color w:val="000000"/>
          <w:sz w:val="20"/>
          <w:szCs w:val="20"/>
          <w:lang w:eastAsia="en-IN"/>
        </w:rPr>
        <w:t> Repayment schedule would range between 5 to 7 Years after initial moratorium of 6-18 months as per the norms of the banks.</w:t>
      </w:r>
    </w:p>
    <w:p w14:paraId="45D8EDF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8. SHG-Bank Linkage – General Guidelines</w:t>
      </w:r>
    </w:p>
    <w:p w14:paraId="2E2D2AC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14:paraId="15CE707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8.1 Master Circular of RBI on SHG-Bank Linkage Programme, </w:t>
      </w:r>
      <w:hyperlink r:id="rId21" w:tgtFrame="_blank" w:history="1">
        <w:r w:rsidRPr="00322DC1">
          <w:rPr>
            <w:rFonts w:ascii="Arial" w:eastAsia="Times New Roman" w:hAnsi="Arial" w:cs="Arial"/>
            <w:color w:val="0000FF"/>
            <w:sz w:val="20"/>
            <w:szCs w:val="20"/>
            <w:u w:val="single"/>
            <w:lang w:eastAsia="en-IN"/>
          </w:rPr>
          <w:t>FIDD.FID.BC. No.04/12.01.033/2018-19 dated July 02, 2018</w:t>
        </w:r>
      </w:hyperlink>
      <w:r w:rsidRPr="00322DC1">
        <w:rPr>
          <w:rFonts w:ascii="Arial" w:eastAsia="Times New Roman" w:hAnsi="Arial" w:cs="Arial"/>
          <w:color w:val="000000"/>
          <w:sz w:val="20"/>
          <w:szCs w:val="20"/>
          <w:lang w:eastAsia="en-IN"/>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14:paraId="2BBDD8E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14:paraId="2D36F4E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8.3 The banks will send the details of disbursed loan cases to the ULB along with the calculation details of the interest subsidy amount. The ULB will check the data at their end and will release the interest subsidy amount on quarterly basis to the banks following a similar procedure as mentioned in Para 5.The prescribed format for claiming the additional interest subvention is enclosed at (</w:t>
      </w:r>
      <w:hyperlink r:id="rId22" w:anchor="A_2" w:history="1">
        <w:r w:rsidRPr="00322DC1">
          <w:rPr>
            <w:rFonts w:ascii="Arial" w:eastAsia="Times New Roman" w:hAnsi="Arial" w:cs="Arial"/>
            <w:color w:val="0000FF"/>
            <w:sz w:val="20"/>
            <w:szCs w:val="20"/>
            <w:u w:val="single"/>
            <w:lang w:eastAsia="en-IN"/>
          </w:rPr>
          <w:t>Annex –II</w:t>
        </w:r>
      </w:hyperlink>
      <w:r w:rsidRPr="00322DC1">
        <w:rPr>
          <w:rFonts w:ascii="Arial" w:eastAsia="Times New Roman" w:hAnsi="Arial" w:cs="Arial"/>
          <w:color w:val="000000"/>
          <w:sz w:val="20"/>
          <w:szCs w:val="20"/>
          <w:lang w:eastAsia="en-IN"/>
        </w:rPr>
        <w:t>).</w:t>
      </w:r>
    </w:p>
    <w:p w14:paraId="305F0E3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8.4 The ULB through its field staff or Resource Organization (ROs) will facilitate filling of loan applications for eligible SHGs to access credit from the banks. The ULB will be responsible to forward </w:t>
      </w:r>
      <w:r w:rsidRPr="00322DC1">
        <w:rPr>
          <w:rFonts w:ascii="Arial" w:eastAsia="Times New Roman" w:hAnsi="Arial" w:cs="Arial"/>
          <w:color w:val="000000"/>
          <w:sz w:val="20"/>
          <w:szCs w:val="20"/>
          <w:lang w:eastAsia="en-IN"/>
        </w:rPr>
        <w:lastRenderedPageBreak/>
        <w:t>the Loan application of the SHGs to the concerned banks with requisite documentation. The ULB will maintain area wise, bank-wise, ROs/ Staff wise data of SHGs loan applications forwarded to the banks. The same will be sent to SULM on a monthly basis.</w:t>
      </w:r>
    </w:p>
    <w:p w14:paraId="49B190A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8.5 In order to ensure effective SHG-Bank Linkage under DAY-NULM, the SULM will monitor and review the progress with banks on regular basis and co-ordinate with SLBC for interest subsidy/ subvention on SHG Loans in the state. Active involvement of State level Bankers’ Committee (SLBC) and lead banks may be ensured for sensitization of bank and branch staff for financial inclusion of urban poor.</w:t>
      </w:r>
    </w:p>
    <w:p w14:paraId="3C07186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8.6 It may be noted that the identification, selection, formation and monitoring of SHGs who are to get interest subvention would be the responsibility of State/ ULBs and banks would not be liable for wrong identification of SHGs who get interest subvention.</w:t>
      </w:r>
    </w:p>
    <w:p w14:paraId="773F268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8.7 Type of Loan Facility: SHGs can avail either Term loan or a Cash Credit Limit (CCL) loan or both based on their needs. In case of need, additional loan can be sanctioned even though the previous loan is outstanding.</w:t>
      </w:r>
    </w:p>
    <w:p w14:paraId="4CB66C2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8.8 Guidelines for prompt repayment are as follows:</w:t>
      </w:r>
    </w:p>
    <w:p w14:paraId="0D5FDCED"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a. For Cash Credit Limit to SHGs:</w:t>
      </w:r>
    </w:p>
    <w:p w14:paraId="31AB31E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322DC1">
        <w:rPr>
          <w:rFonts w:ascii="Arial" w:eastAsia="Times New Roman" w:hAnsi="Arial" w:cs="Arial"/>
          <w:color w:val="000000"/>
          <w:sz w:val="20"/>
          <w:szCs w:val="20"/>
          <w:lang w:eastAsia="en-IN"/>
        </w:rPr>
        <w:t>i</w:t>
      </w:r>
      <w:proofErr w:type="spellEnd"/>
      <w:r w:rsidRPr="00322DC1">
        <w:rPr>
          <w:rFonts w:ascii="Arial" w:eastAsia="Times New Roman" w:hAnsi="Arial" w:cs="Arial"/>
          <w:color w:val="000000"/>
          <w:sz w:val="20"/>
          <w:szCs w:val="20"/>
          <w:lang w:eastAsia="en-IN"/>
        </w:rPr>
        <w:t>) Outstanding balance shall not have remained in excess of the sanctioned limit/drawing power continuously for more than 30 days.</w:t>
      </w:r>
    </w:p>
    <w:p w14:paraId="0FA5976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ii) There shall be regular credits and debits in the account. In any case there shall be at least one customer induced credit during the month.</w:t>
      </w:r>
    </w:p>
    <w:p w14:paraId="5EAD036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iii) Customer induced Credits during a month shall be sufficient to cover the interest debited during the month.</w:t>
      </w:r>
    </w:p>
    <w:p w14:paraId="2E689C33"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b. For Term Loan to SHGs:</w:t>
      </w:r>
      <w:r w:rsidRPr="00322DC1">
        <w:rPr>
          <w:rFonts w:ascii="Arial" w:eastAsia="Times New Roman" w:hAnsi="Arial" w:cs="Arial"/>
          <w:color w:val="000000"/>
          <w:sz w:val="20"/>
          <w:szCs w:val="20"/>
          <w:lang w:eastAsia="en-IN"/>
        </w:rPr>
        <w:t> A term loan account where all of the interest payments and/or instalments of principal were paid within 30 days of the due date during the entire tenure of the loans would be considered as an account having prompt payment.</w:t>
      </w:r>
    </w:p>
    <w:p w14:paraId="7E3D2E2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9. Progress Reporting for SEP-I, SEP-G &amp; SEP-SHG</w:t>
      </w:r>
    </w:p>
    <w:p w14:paraId="0C21C33A"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14:paraId="064B4F2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9.2 The SULM will compile all the reports received from respective ULBs and will communicate to M/o HUPA on a monthly basis.</w:t>
      </w:r>
    </w:p>
    <w:p w14:paraId="122959A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9.3 SULM must ensure that progress under SEP is reviewed in every SLBC and District Consultative Committee (DCC) meetings. Any other important issue with regard to SEP may be taken up by SULM with SLBC convener bank for effective coordination and implementation.</w:t>
      </w:r>
    </w:p>
    <w:p w14:paraId="5761092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10. Credit Card for enterprise development</w:t>
      </w:r>
    </w:p>
    <w:p w14:paraId="40A8DA7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w:t>
      </w:r>
      <w:r w:rsidRPr="00322DC1">
        <w:rPr>
          <w:rFonts w:ascii="Arial" w:eastAsia="Times New Roman" w:hAnsi="Arial" w:cs="Arial"/>
          <w:color w:val="000000"/>
          <w:sz w:val="20"/>
          <w:szCs w:val="20"/>
          <w:lang w:eastAsia="en-IN"/>
        </w:rPr>
        <w:lastRenderedPageBreak/>
        <w:t>a lot of time. This need for working capital credit is generally met from informal sources of credit (including money lenders) which is typically available at high rate of interest.</w:t>
      </w:r>
    </w:p>
    <w:p w14:paraId="28D1AAA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10.2 In order to support the micro-entrepreneurs to meet their working capital and miscellaneous credit needs, DAY-NULM will facilitate access to Credit Cards or MUDRA Card through banks.</w:t>
      </w:r>
    </w:p>
    <w:p w14:paraId="0E8D5F1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banks or any other variant of credit cards for enterprise development of banks in urban areas, may be explored by SULM and SLBC for the same. The Circular on revised GCC scheme has been issued by RBI notification vide </w:t>
      </w:r>
      <w:hyperlink r:id="rId23" w:tgtFrame="_blank" w:history="1">
        <w:r w:rsidRPr="00322DC1">
          <w:rPr>
            <w:rFonts w:ascii="Arial" w:eastAsia="Times New Roman" w:hAnsi="Arial" w:cs="Arial"/>
            <w:color w:val="0000FF"/>
            <w:sz w:val="20"/>
            <w:szCs w:val="20"/>
            <w:u w:val="single"/>
            <w:lang w:eastAsia="en-IN"/>
          </w:rPr>
          <w:t>RPCD.MSME&amp; NFS.BC.No.61/06.02.31/2013-14 dated December 02, 2013</w:t>
        </w:r>
      </w:hyperlink>
      <w:r w:rsidRPr="00322DC1">
        <w:rPr>
          <w:rFonts w:ascii="Arial" w:eastAsia="Times New Roman" w:hAnsi="Arial" w:cs="Arial"/>
          <w:color w:val="000000"/>
          <w:sz w:val="20"/>
          <w:szCs w:val="20"/>
          <w:lang w:eastAsia="en-IN"/>
        </w:rPr>
        <w:t> available on RBI web-site ‘</w:t>
      </w:r>
      <w:hyperlink r:id="rId24" w:tgtFrame="_blank" w:history="1">
        <w:r w:rsidRPr="00322DC1">
          <w:rPr>
            <w:rFonts w:ascii="Arial" w:eastAsia="Times New Roman" w:hAnsi="Arial" w:cs="Arial"/>
            <w:color w:val="0000FF"/>
            <w:sz w:val="20"/>
            <w:szCs w:val="20"/>
            <w:u w:val="single"/>
            <w:lang w:eastAsia="en-IN"/>
          </w:rPr>
          <w:t>www.rbi.org.in</w:t>
        </w:r>
      </w:hyperlink>
      <w:r w:rsidRPr="00322DC1">
        <w:rPr>
          <w:rFonts w:ascii="Arial" w:eastAsia="Times New Roman" w:hAnsi="Arial" w:cs="Arial"/>
          <w:color w:val="000000"/>
          <w:sz w:val="20"/>
          <w:szCs w:val="20"/>
          <w:lang w:eastAsia="en-IN"/>
        </w:rPr>
        <w:t>’.</w:t>
      </w:r>
    </w:p>
    <w:p w14:paraId="6086416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14:paraId="19873D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10.5 The targets for the same may be decided at ULB level and the progress under this component is aggregated at SULM level and communicated to M/o HUPA periodically.</w:t>
      </w:r>
    </w:p>
    <w:p w14:paraId="7458868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11. Technology, Marketing and Other Support</w:t>
      </w:r>
    </w:p>
    <w:p w14:paraId="032CCC9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14:paraId="68B1B2D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11.2 The City Livelihoods </w:t>
      </w:r>
      <w:proofErr w:type="spellStart"/>
      <w:r w:rsidRPr="00322DC1">
        <w:rPr>
          <w:rFonts w:ascii="Arial" w:eastAsia="Times New Roman" w:hAnsi="Arial" w:cs="Arial"/>
          <w:color w:val="000000"/>
          <w:sz w:val="20"/>
          <w:szCs w:val="20"/>
          <w:lang w:eastAsia="en-IN"/>
        </w:rPr>
        <w:t>Centers</w:t>
      </w:r>
      <w:proofErr w:type="spellEnd"/>
      <w:r w:rsidRPr="00322DC1">
        <w:rPr>
          <w:rFonts w:ascii="Arial" w:eastAsia="Times New Roman" w:hAnsi="Arial" w:cs="Arial"/>
          <w:color w:val="000000"/>
          <w:sz w:val="20"/>
          <w:szCs w:val="20"/>
          <w:lang w:eastAsia="en-IN"/>
        </w:rPr>
        <w:t xml:space="preserve">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14:paraId="0427CBB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14:paraId="05BEE68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11.4 The SULM may arrange for additional funds/professional assistance for the purpose of providing above services to CLCs.</w:t>
      </w:r>
    </w:p>
    <w:p w14:paraId="079E819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12. Funding Pattern of SEP of DAY-NULM</w:t>
      </w:r>
    </w:p>
    <w:p w14:paraId="66DF433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12.1 Funding under this component will be shared between the Centre and the States as per the general norms under DAY-NULM.</w:t>
      </w:r>
    </w:p>
    <w:p w14:paraId="1E21A2D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14:paraId="0B71DFFD"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13. Monitoring and Evaluation</w:t>
      </w:r>
    </w:p>
    <w:p w14:paraId="2AAAAF6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lastRenderedPageBreak/>
        <w:t xml:space="preserve">13.1 The State Mission </w:t>
      </w:r>
      <w:proofErr w:type="gramStart"/>
      <w:r w:rsidRPr="00322DC1">
        <w:rPr>
          <w:rFonts w:ascii="Arial" w:eastAsia="Times New Roman" w:hAnsi="Arial" w:cs="Arial"/>
          <w:color w:val="000000"/>
          <w:sz w:val="20"/>
          <w:szCs w:val="20"/>
          <w:lang w:eastAsia="en-IN"/>
        </w:rPr>
        <w:t>management</w:t>
      </w:r>
      <w:proofErr w:type="gramEnd"/>
      <w:r w:rsidRPr="00322DC1">
        <w:rPr>
          <w:rFonts w:ascii="Arial" w:eastAsia="Times New Roman" w:hAnsi="Arial" w:cs="Arial"/>
          <w:color w:val="000000"/>
          <w:sz w:val="20"/>
          <w:szCs w:val="20"/>
          <w:lang w:eastAsia="en-IN"/>
        </w:rPr>
        <w:t xml:space="preserve">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14:paraId="7116ADC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14:paraId="0E154BB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14:paraId="62075E2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13.4 During the field visit mentioned above data on economic status of the beneficiaries should be collected and be compared with similar data given in loan application form, to know the impact of the benefit on the economic conditions of the beneficiaries.</w:t>
      </w:r>
    </w:p>
    <w:p w14:paraId="4FB4363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13.5 Impact analysis studies may also be conducted at suitable interval to assess the impact of benefit under SEP on the economic status of the beneficiaries.</w:t>
      </w:r>
    </w:p>
    <w:p w14:paraId="4F8FD3D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13.6 To monitor progress of the targets vis-a-vis achievement under DAY-NULM, Banks are advised to furnish cumulative progress reports on quarterly basis as per enclosed proforma (</w:t>
      </w:r>
      <w:hyperlink r:id="rId25" w:tgtFrame="_blank" w:history="1">
        <w:r w:rsidRPr="00322DC1">
          <w:rPr>
            <w:rFonts w:ascii="Arial" w:eastAsia="Times New Roman" w:hAnsi="Arial" w:cs="Arial"/>
            <w:color w:val="0000FF"/>
            <w:sz w:val="20"/>
            <w:szCs w:val="20"/>
            <w:u w:val="single"/>
            <w:lang w:eastAsia="en-IN"/>
          </w:rPr>
          <w:t>Annex III</w:t>
        </w:r>
      </w:hyperlink>
      <w:r w:rsidRPr="00322DC1">
        <w:rPr>
          <w:rFonts w:ascii="Arial" w:eastAsia="Times New Roman" w:hAnsi="Arial" w:cs="Arial"/>
          <w:color w:val="000000"/>
          <w:sz w:val="20"/>
          <w:szCs w:val="20"/>
          <w:lang w:eastAsia="en-IN"/>
        </w:rPr>
        <w:t> &amp; </w:t>
      </w:r>
      <w:hyperlink r:id="rId26" w:tgtFrame="_blank" w:history="1">
        <w:r w:rsidRPr="00322DC1">
          <w:rPr>
            <w:rFonts w:ascii="Arial" w:eastAsia="Times New Roman" w:hAnsi="Arial" w:cs="Arial"/>
            <w:color w:val="0000FF"/>
            <w:sz w:val="20"/>
            <w:szCs w:val="20"/>
            <w:u w:val="single"/>
            <w:lang w:eastAsia="en-IN"/>
          </w:rPr>
          <w:t>IV</w:t>
        </w:r>
      </w:hyperlink>
      <w:r w:rsidRPr="00322DC1">
        <w:rPr>
          <w:rFonts w:ascii="Arial" w:eastAsia="Times New Roman" w:hAnsi="Arial" w:cs="Arial"/>
          <w:color w:val="000000"/>
          <w:sz w:val="20"/>
          <w:szCs w:val="20"/>
          <w:lang w:eastAsia="en-IN"/>
        </w:rPr>
        <w:t>) to the Director, UPA at </w:t>
      </w:r>
      <w:hyperlink r:id="rId27" w:history="1">
        <w:r w:rsidRPr="00322DC1">
          <w:rPr>
            <w:rFonts w:ascii="Arial" w:eastAsia="Times New Roman" w:hAnsi="Arial" w:cs="Arial"/>
            <w:color w:val="0000FF"/>
            <w:sz w:val="20"/>
            <w:szCs w:val="20"/>
            <w:u w:val="single"/>
            <w:lang w:eastAsia="en-IN"/>
          </w:rPr>
          <w:t>dupa-mhupa@nic.in</w:t>
        </w:r>
      </w:hyperlink>
      <w:r w:rsidRPr="00322DC1">
        <w:rPr>
          <w:rFonts w:ascii="Arial" w:eastAsia="Times New Roman" w:hAnsi="Arial" w:cs="Arial"/>
          <w:color w:val="000000"/>
          <w:sz w:val="20"/>
          <w:szCs w:val="20"/>
          <w:lang w:eastAsia="en-IN"/>
        </w:rPr>
        <w:t> as well as to RBI on </w:t>
      </w:r>
      <w:hyperlink r:id="rId28" w:history="1">
        <w:r w:rsidRPr="00322DC1">
          <w:rPr>
            <w:rFonts w:ascii="Arial" w:eastAsia="Times New Roman" w:hAnsi="Arial" w:cs="Arial"/>
            <w:color w:val="0000FF"/>
            <w:sz w:val="20"/>
            <w:szCs w:val="20"/>
            <w:u w:val="single"/>
            <w:lang w:eastAsia="en-IN"/>
          </w:rPr>
          <w:t>email</w:t>
        </w:r>
      </w:hyperlink>
      <w:r w:rsidRPr="00322DC1">
        <w:rPr>
          <w:rFonts w:ascii="Arial" w:eastAsia="Times New Roman" w:hAnsi="Arial" w:cs="Arial"/>
          <w:color w:val="000000"/>
          <w:sz w:val="20"/>
          <w:szCs w:val="20"/>
          <w:lang w:eastAsia="en-IN"/>
        </w:rPr>
        <w:t> latest by the end of next month of the quarter to which they relate.</w:t>
      </w:r>
    </w:p>
    <w:p w14:paraId="5BBE910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b/>
          <w:bCs/>
          <w:color w:val="000000"/>
          <w:sz w:val="20"/>
          <w:szCs w:val="20"/>
          <w:lang w:eastAsia="en-IN"/>
        </w:rPr>
        <w:t>13.7 Unique Code for loans under NULM:</w:t>
      </w:r>
      <w:r w:rsidRPr="00322DC1">
        <w:rPr>
          <w:rFonts w:ascii="Arial" w:eastAsia="Times New Roman" w:hAnsi="Arial" w:cs="Arial"/>
          <w:color w:val="000000"/>
          <w:sz w:val="20"/>
          <w:szCs w:val="20"/>
          <w:lang w:eastAsia="en-IN"/>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14:paraId="5C832E23" w14:textId="018E3A70" w:rsidR="00534A4E" w:rsidRDefault="003F25F1" w:rsidP="00CC4E32">
      <w:pPr>
        <w:rPr>
          <w:rStyle w:val="Hyperlink"/>
        </w:rPr>
      </w:pPr>
      <w:hyperlink r:id="rId29" w:history="1">
        <w:r w:rsidR="00CC4E32">
          <w:rPr>
            <w:rStyle w:val="Hyperlink"/>
          </w:rPr>
          <w:t>https://rbidocs.rbi.org.in/rdocs/notification/PDFs/5MC5CDD3CB9C56943709BAC0EADCC2D810F.PDF</w:t>
        </w:r>
      </w:hyperlink>
    </w:p>
    <w:p w14:paraId="6217AA62" w14:textId="77777777" w:rsidR="002516EE" w:rsidRDefault="002516EE"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w:t>
      </w:r>
    </w:p>
    <w:p w14:paraId="27433A9D" w14:textId="43CDCC37" w:rsidR="00CC4E32" w:rsidRPr="002516EE" w:rsidRDefault="00CC4E32"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RBI/2019-20/08</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FIDD.FID.BC.No.05/12.01.033/2019-20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July 01, 2019</w:t>
      </w:r>
    </w:p>
    <w:p w14:paraId="592C647D" w14:textId="6FC4AE5B" w:rsidR="00CC4E32" w:rsidRPr="00322DC1" w:rsidRDefault="00CC4E32" w:rsidP="00CC4E3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Chairman/ Managing Director/Chief Executive Officer</w:t>
      </w:r>
      <w:r w:rsidR="002516EE">
        <w:rPr>
          <w:rFonts w:ascii="Arial" w:eastAsia="Times New Roman" w:hAnsi="Arial" w:cs="Arial"/>
          <w:color w:val="000000"/>
          <w:sz w:val="20"/>
          <w:szCs w:val="20"/>
          <w:lang w:eastAsia="en-IN"/>
        </w:rPr>
        <w:t xml:space="preserve"> </w:t>
      </w:r>
      <w:r w:rsidRPr="00322DC1">
        <w:rPr>
          <w:rFonts w:ascii="Arial" w:eastAsia="Times New Roman" w:hAnsi="Arial" w:cs="Arial"/>
          <w:color w:val="000000"/>
          <w:sz w:val="20"/>
          <w:szCs w:val="20"/>
          <w:lang w:eastAsia="en-IN"/>
        </w:rPr>
        <w:t>All Scheduled Commercial Banks</w:t>
      </w:r>
    </w:p>
    <w:p w14:paraId="0ADAB3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Master Circular on SHG-Bank Linkage Programme</w:t>
      </w:r>
    </w:p>
    <w:p w14:paraId="032E530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Reserve Bank of India has, from time to time, issued a number of guidelines/instructions to banks on SHG-Bank Linkage Programme. In order to enable banks to have instructions at one place, the Master Circular incorporating the existing guidelines/instructions on the subject has been updated and enclosed.</w:t>
      </w:r>
    </w:p>
    <w:p w14:paraId="2334B0BA" w14:textId="77777777" w:rsidR="00CC4E32" w:rsidRPr="00322DC1" w:rsidRDefault="00CC4E32" w:rsidP="00CC4E32">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Master Circular on SHG-Bank Linkage Programme</w:t>
      </w:r>
    </w:p>
    <w:p w14:paraId="376CA05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Self Help Groups have the potential to bring together the formal banking structure and the rural poor for mutual benefit. Studies conducted by NABARD in a few states to assess the impact of the linkage </w:t>
      </w:r>
      <w:r w:rsidRPr="00322DC1">
        <w:rPr>
          <w:rFonts w:ascii="Arial" w:eastAsia="Times New Roman" w:hAnsi="Arial" w:cs="Arial"/>
          <w:color w:val="000000"/>
          <w:sz w:val="20"/>
          <w:szCs w:val="20"/>
          <w:lang w:eastAsia="en-IN"/>
        </w:rPr>
        <w:lastRenderedPageBreak/>
        <w:t>project have brought out encouraging and positive features like increase in loan volume of the SHGs, definite shift in the loaning pattern of the members from non-income generating activities to production activities, nearly 100 per cent recovery performance, significant reduction in the transaction costs for both the banks and the borrowers etc., besides leading to a gradual increase in the income level of the SHG members. Another significant feature observed in the linkage project is that about 85 per cent of the groups linked with banks were formed exclusively by women.</w:t>
      </w:r>
    </w:p>
    <w:p w14:paraId="5D50397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 xml:space="preserve">2. Recognizing the importance of SHG Bank linkage, banks have been advised to meet the entire credit requirements of SHG members, as envisaged in Paragraph 93 of the Union Budget announcement for the year 2008-09, made by the </w:t>
      </w:r>
      <w:proofErr w:type="spellStart"/>
      <w:r w:rsidRPr="00322DC1">
        <w:rPr>
          <w:rFonts w:ascii="Arial" w:eastAsia="Times New Roman" w:hAnsi="Arial" w:cs="Arial"/>
          <w:color w:val="000000"/>
          <w:sz w:val="20"/>
          <w:szCs w:val="20"/>
          <w:lang w:eastAsia="en-IN"/>
        </w:rPr>
        <w:t>Honorable</w:t>
      </w:r>
      <w:proofErr w:type="spellEnd"/>
      <w:r w:rsidRPr="00322DC1">
        <w:rPr>
          <w:rFonts w:ascii="Arial" w:eastAsia="Times New Roman" w:hAnsi="Arial" w:cs="Arial"/>
          <w:color w:val="000000"/>
          <w:sz w:val="20"/>
          <w:szCs w:val="20"/>
          <w:lang w:eastAsia="en-IN"/>
        </w:rPr>
        <w:t xml:space="preserve"> Finance Minister, wherein it was stated as under: "Banks will be encouraged to embrace the concept of Total Financial Inclusion. Government will request all scheduled commercial banks to follow the example set by some public sector banks and meet the entire credit requirements of SHG members, namely, (a) income generation activities, (b) social needs like housing, education, marriage, etc. and (c) debt swapping". Linking of SHGs with banks has thus been emphasized in the Monetary Policy Statements of Reserve Bank of India and Union Budget announcements from time to time and various guidelines have been issued to banks in this regard.</w:t>
      </w:r>
    </w:p>
    <w:p w14:paraId="69B980D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3. Banks should provide adequate incentives to their branches in financing the Self Help Groups (SHGs) and establish linkages with them, making the procedures simple and easy. The group dynamics of working of the SHGs need neither be regulated nor formal structures imposed or insisted upon. The approach to financing of SHGs should be totally hassle-free and may also include consumption expenditures. Accordingly, the following guidelines should be adhered to enable effective linkage of SHGs with the banking sector.</w:t>
      </w:r>
    </w:p>
    <w:p w14:paraId="0C90A68E"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4. Opening of Savings Bank A/C</w:t>
      </w:r>
    </w:p>
    <w:p w14:paraId="24523F0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The SHGs, registered or unregistered, which are engaged in promoting savings habits among their members are eligible to open savings bank accounts with banks. These SHGs need not necessarily have already availed of credit facilities from banks before opening savings bank accounts. The instructions of the Department of Banking Regulation in the </w:t>
      </w:r>
      <w:hyperlink r:id="rId30" w:tgtFrame="_blank" w:history="1">
        <w:r w:rsidRPr="00322DC1">
          <w:rPr>
            <w:rFonts w:ascii="Arial" w:eastAsia="Times New Roman" w:hAnsi="Arial" w:cs="Arial"/>
            <w:color w:val="0000FF"/>
            <w:sz w:val="20"/>
            <w:szCs w:val="20"/>
            <w:u w:val="single"/>
            <w:lang w:eastAsia="en-IN"/>
          </w:rPr>
          <w:t>Master Direction - Know Your Customer (KYC) Direction, 2016</w:t>
        </w:r>
      </w:hyperlink>
      <w:r w:rsidRPr="00322DC1">
        <w:rPr>
          <w:rFonts w:ascii="Arial" w:eastAsia="Times New Roman" w:hAnsi="Arial" w:cs="Arial"/>
          <w:color w:val="000000"/>
          <w:sz w:val="20"/>
          <w:szCs w:val="20"/>
          <w:lang w:eastAsia="en-IN"/>
        </w:rPr>
        <w:t> pertaining to SHG members (Part VI-Paragraph 43) shall be adhered to, while completing Customer Due Diligence (CDD)</w:t>
      </w:r>
      <w:hyperlink r:id="rId31" w:anchor="F1" w:history="1">
        <w:r w:rsidRPr="00322DC1">
          <w:rPr>
            <w:rFonts w:ascii="Arial" w:eastAsia="Times New Roman" w:hAnsi="Arial" w:cs="Arial"/>
            <w:color w:val="0000FF"/>
            <w:sz w:val="15"/>
            <w:szCs w:val="15"/>
            <w:u w:val="single"/>
            <w:vertAlign w:val="superscript"/>
            <w:lang w:eastAsia="en-IN"/>
          </w:rPr>
          <w:t>1</w:t>
        </w:r>
      </w:hyperlink>
      <w:r w:rsidRPr="00322DC1">
        <w:rPr>
          <w:rFonts w:ascii="Arial" w:eastAsia="Times New Roman" w:hAnsi="Arial" w:cs="Arial"/>
          <w:color w:val="000000"/>
          <w:sz w:val="20"/>
          <w:szCs w:val="20"/>
          <w:lang w:eastAsia="en-IN"/>
        </w:rPr>
        <w:t> process.</w:t>
      </w:r>
    </w:p>
    <w:p w14:paraId="02488DD1"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Accordingly, the current instructions under Simplified norms for Self Help Groups (SHGs) mention that CDD of all the members of SHG as mentioned in the above Direction shall not be required while opening the savings bank account of the SHG. CDD of all the office bearers shall suffice. No separate CDD of the members or office bearers shall be necessary at the time of credit linking of SHGs.</w:t>
      </w:r>
    </w:p>
    <w:p w14:paraId="34754D1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5. Lending to SHGs</w:t>
      </w:r>
    </w:p>
    <w:p w14:paraId="131B2DB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Bank lending to SHGs should be included in branch credit plan, block credit plan, district credit plan and state credit plan of each bank. Utmost priority should be accorded to the sector in preparation of these plans. It should also form an integral part of the bank’s corporate credit plan.</w:t>
      </w:r>
    </w:p>
    <w:p w14:paraId="14B6C05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As per operational guidelines issued by NABARD, SHGs may be sanctioned savings linked loans by banks (varying from a saving to loan ratio of 1:1 to 1:4). However, in case of matured SHGs, loans may be given beyond the limit of four times the savings as per the discretion of the bank.</w:t>
      </w:r>
    </w:p>
    <w:p w14:paraId="41FCCBA7"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 A simple system requiring minimum procedures and documentation is a precondition for augmenting flow of credit to SHGs. Banks should strive to remove all operational irritants and make arrangements to expeditiously sanction and disburse credit by delegating adequate sanctioning powers to branch managers. The loan application forms, procedures and documents should be made simple. It would help in providing prompt and hassle-free credit.</w:t>
      </w:r>
    </w:p>
    <w:p w14:paraId="1A1D928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6. Interest rates</w:t>
      </w:r>
    </w:p>
    <w:p w14:paraId="7B8BC645"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The banks would have the discretion to decide on the interest rates applicable to loans given to Self Help Groups/member beneficiaries.</w:t>
      </w:r>
    </w:p>
    <w:p w14:paraId="3C4234DC"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lastRenderedPageBreak/>
        <w:t>7. Service/ Processing charges</w:t>
      </w:r>
    </w:p>
    <w:p w14:paraId="52F2B60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No loan related and ad hoc service charges/inspection charges should be levied on priority sector loans up to ₹ 25,000. In the case of eligible priority sector loans to SHGs/ JLGs, this limit will be applicable per member and not to the group as a whole.</w:t>
      </w:r>
    </w:p>
    <w:p w14:paraId="443F4AF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8. Separate Segment under priority sector</w:t>
      </w:r>
    </w:p>
    <w:p w14:paraId="4B2CE18B"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In order to enable the banks to report their SHG lending without difficulty, it is decided that the banks should report their lending to SHGs for on-lending to members of SHGs under the respective categories, viz. 'Advances to SHGs' irrespective of the purposes for which the loans have been disbursed to the SHG members. Priority Sector loans to SHGs are considered under “Weaker Sections” category.</w:t>
      </w:r>
    </w:p>
    <w:p w14:paraId="13D5613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9. Presence of defaulters in SHGs</w:t>
      </w:r>
    </w:p>
    <w:p w14:paraId="7BFF855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Defaults by a few members of SHGs and/or their family members to the financing bank should not ordinarily come in the way of financing SHGs per se by banks, provided the SHG is not in default. However, the bank loan may not be utilized by the SHG for financing a defaulter member to the bank.</w:t>
      </w:r>
    </w:p>
    <w:p w14:paraId="14AC7A29"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10. Capacity Building and Training</w:t>
      </w:r>
    </w:p>
    <w:p w14:paraId="37D7390F"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a) Banks may initiate suitable steps to internalize the SHGs linkage project and organize exclusive short duration programmes for the field level functionaries. In addition, suitable awareness/sensitization programmes may be conducted for their middle level controlling officers as well as senior officers.</w:t>
      </w:r>
    </w:p>
    <w:p w14:paraId="56B4B6D6"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b) Banks shall refer to instructions on Financial Literacy by FLCs and rural branches – Policy review vide </w:t>
      </w:r>
      <w:hyperlink r:id="rId32" w:tgtFrame="_blank" w:history="1">
        <w:r w:rsidRPr="00322DC1">
          <w:rPr>
            <w:rFonts w:ascii="Arial" w:eastAsia="Times New Roman" w:hAnsi="Arial" w:cs="Arial"/>
            <w:color w:val="0000FF"/>
            <w:sz w:val="20"/>
            <w:szCs w:val="20"/>
            <w:u w:val="single"/>
            <w:lang w:eastAsia="en-IN"/>
          </w:rPr>
          <w:t>Circular FIDD.FLC.BC.No.22/12.01.018/2016-17 dated March 02, 2017</w:t>
        </w:r>
      </w:hyperlink>
      <w:r w:rsidRPr="00322DC1">
        <w:rPr>
          <w:rFonts w:ascii="Arial" w:eastAsia="Times New Roman" w:hAnsi="Arial" w:cs="Arial"/>
          <w:color w:val="000000"/>
          <w:sz w:val="20"/>
          <w:szCs w:val="20"/>
          <w:lang w:eastAsia="en-IN"/>
        </w:rPr>
        <w:t> conducting tailored programs targeting </w:t>
      </w:r>
      <w:hyperlink r:id="rId33" w:tgtFrame="_blank" w:history="1">
        <w:r w:rsidRPr="00322DC1">
          <w:rPr>
            <w:rFonts w:ascii="Arial" w:eastAsia="Times New Roman" w:hAnsi="Arial" w:cs="Arial"/>
            <w:color w:val="0000FF"/>
            <w:sz w:val="20"/>
            <w:szCs w:val="20"/>
            <w:u w:val="single"/>
            <w:lang w:eastAsia="en-IN"/>
          </w:rPr>
          <w:t>SHGs</w:t>
        </w:r>
      </w:hyperlink>
      <w:r w:rsidRPr="00322DC1">
        <w:rPr>
          <w:rFonts w:ascii="Arial" w:eastAsia="Times New Roman" w:hAnsi="Arial" w:cs="Arial"/>
          <w:color w:val="000000"/>
          <w:sz w:val="20"/>
          <w:szCs w:val="20"/>
          <w:lang w:eastAsia="en-IN"/>
        </w:rPr>
        <w:t>.</w:t>
      </w:r>
    </w:p>
    <w:p w14:paraId="6DD70708"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11. Monitoring and Review of SHG Lending</w:t>
      </w:r>
    </w:p>
    <w:p w14:paraId="6D35AF32"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Considering the potential of SHGs, banks shall closely monitor the progress regularly at various levels. In order to give a boost to the ongoing SHG bank linkage programme for credit flow to the unorganized sector, monitoring of SHG bank linkage programme shall be a regular item on the agenda for discussion at the SLBC and DCC meetings. It should be reviewed at the highest corporate level on a quarterly basis. Further, progress of the programme may be reviewed by banks at regular intervals. The progress under SHG-BLP, as prescribed vide RBI letter FIDD.CO.FID.No.3387/12.01.033/2017-18 dated April 26, 2018 shall be reported to NABARD (Micro Credit Innovations Department), Mumbai, on a quarterly basis, and the returns in the </w:t>
      </w:r>
      <w:hyperlink r:id="rId34" w:tgtFrame="_blank" w:history="1">
        <w:r w:rsidRPr="00322DC1">
          <w:rPr>
            <w:rFonts w:ascii="Arial" w:eastAsia="Times New Roman" w:hAnsi="Arial" w:cs="Arial"/>
            <w:color w:val="0000FF"/>
            <w:sz w:val="20"/>
            <w:szCs w:val="20"/>
            <w:u w:val="single"/>
            <w:lang w:eastAsia="en-IN"/>
          </w:rPr>
          <w:t>prescribed format</w:t>
        </w:r>
      </w:hyperlink>
      <w:r w:rsidRPr="00322DC1">
        <w:rPr>
          <w:rFonts w:ascii="Arial" w:eastAsia="Times New Roman" w:hAnsi="Arial" w:cs="Arial"/>
          <w:color w:val="000000"/>
          <w:sz w:val="20"/>
          <w:szCs w:val="20"/>
          <w:lang w:eastAsia="en-IN"/>
        </w:rPr>
        <w:t> shall be submitted within 15 days from due date.</w:t>
      </w:r>
    </w:p>
    <w:p w14:paraId="3F8F0394"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22DC1">
        <w:rPr>
          <w:rFonts w:ascii="Arial" w:eastAsia="Times New Roman" w:hAnsi="Arial" w:cs="Arial"/>
          <w:b/>
          <w:bCs/>
          <w:color w:val="000000"/>
          <w:sz w:val="20"/>
          <w:szCs w:val="20"/>
          <w:lang w:eastAsia="en-IN"/>
        </w:rPr>
        <w:t>12. Reporting to CICs</w:t>
      </w:r>
    </w:p>
    <w:p w14:paraId="6C892CB0" w14:textId="77777777" w:rsidR="00CC4E32" w:rsidRPr="00322DC1" w:rsidRDefault="00CC4E32" w:rsidP="00CC4E3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22DC1">
        <w:rPr>
          <w:rFonts w:ascii="Arial" w:eastAsia="Times New Roman" w:hAnsi="Arial" w:cs="Arial"/>
          <w:color w:val="000000"/>
          <w:sz w:val="20"/>
          <w:szCs w:val="20"/>
          <w:lang w:eastAsia="en-IN"/>
        </w:rPr>
        <w:t>Recognizing the importance of credit information reporting in respect of the SHG members for financial inclusion, banks are advised to adhere to the guidelines issued by Department of Banking Regulation on </w:t>
      </w:r>
      <w:hyperlink r:id="rId35" w:tgtFrame="_blank" w:history="1">
        <w:r w:rsidRPr="00322DC1">
          <w:rPr>
            <w:rFonts w:ascii="Arial" w:eastAsia="Times New Roman" w:hAnsi="Arial" w:cs="Arial"/>
            <w:color w:val="0000FF"/>
            <w:sz w:val="20"/>
            <w:szCs w:val="20"/>
            <w:u w:val="single"/>
            <w:lang w:eastAsia="en-IN"/>
          </w:rPr>
          <w:t>Credit information reporting in respect of Self Help Group (SHG) members dated June 16, 2016</w:t>
        </w:r>
      </w:hyperlink>
      <w:r w:rsidRPr="00322DC1">
        <w:rPr>
          <w:rFonts w:ascii="Arial" w:eastAsia="Times New Roman" w:hAnsi="Arial" w:cs="Arial"/>
          <w:color w:val="000000"/>
          <w:sz w:val="20"/>
          <w:szCs w:val="20"/>
          <w:lang w:eastAsia="en-IN"/>
        </w:rPr>
        <w:t> and </w:t>
      </w:r>
      <w:hyperlink r:id="rId36" w:tgtFrame="_blank" w:history="1">
        <w:r w:rsidRPr="00322DC1">
          <w:rPr>
            <w:rFonts w:ascii="Arial" w:eastAsia="Times New Roman" w:hAnsi="Arial" w:cs="Arial"/>
            <w:color w:val="0000FF"/>
            <w:sz w:val="20"/>
            <w:szCs w:val="20"/>
            <w:u w:val="single"/>
            <w:lang w:eastAsia="en-IN"/>
          </w:rPr>
          <w:t>Credit information reporting in respect of Self Help Group (SHG) members dated January 14, 2016</w:t>
        </w:r>
      </w:hyperlink>
      <w:r w:rsidRPr="00322DC1">
        <w:rPr>
          <w:rFonts w:ascii="Arial" w:eastAsia="Times New Roman" w:hAnsi="Arial" w:cs="Arial"/>
          <w:color w:val="000000"/>
          <w:sz w:val="20"/>
          <w:szCs w:val="20"/>
          <w:lang w:eastAsia="en-IN"/>
        </w:rPr>
        <w:t>.</w:t>
      </w:r>
    </w:p>
    <w:p w14:paraId="658459AA" w14:textId="77777777" w:rsidR="00CC4E32" w:rsidRDefault="003F25F1" w:rsidP="00CC4E32">
      <w:pPr>
        <w:shd w:val="clear" w:color="auto" w:fill="FFFFFF"/>
        <w:spacing w:before="100" w:beforeAutospacing="1" w:after="100" w:afterAutospacing="1" w:line="240" w:lineRule="auto"/>
        <w:jc w:val="both"/>
      </w:pPr>
      <w:hyperlink r:id="rId37" w:history="1">
        <w:r w:rsidR="00CC4E32">
          <w:rPr>
            <w:rStyle w:val="Hyperlink"/>
          </w:rPr>
          <w:t>https://rbidocs.rbi.org.in/rdocs/notification/PDFs/08MC37FC72FB77B5429BBC9CDA4194DD8583.PDF</w:t>
        </w:r>
      </w:hyperlink>
    </w:p>
    <w:p w14:paraId="446648C7" w14:textId="1932A3A5" w:rsidR="002516EE" w:rsidRDefault="002516EE"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_______________________________</w:t>
      </w:r>
    </w:p>
    <w:p w14:paraId="46BCBD85" w14:textId="51BF6338" w:rsidR="002516EE" w:rsidRDefault="002516EE"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364E3542" w14:textId="715DFD9D" w:rsidR="002516EE" w:rsidRDefault="002516EE"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3DD76BAB" w14:textId="77777777" w:rsidR="002516EE" w:rsidRDefault="002516EE"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28418AE0" w14:textId="679566EC" w:rsidR="00E07FD2" w:rsidRPr="002516EE" w:rsidRDefault="00E07FD2"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RBI/2019-20/48</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FIDD.CO.FSD.BC.No.10/05.02.001/2019-20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August 26, 2019</w:t>
      </w:r>
    </w:p>
    <w:p w14:paraId="75798E69" w14:textId="5F2C8168" w:rsidR="00E07FD2" w:rsidRPr="008B6BD9" w:rsidRDefault="00E07FD2" w:rsidP="00E07FD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The Chairman / Managing Director &amp; CEOs</w:t>
      </w:r>
      <w:r w:rsidR="002516EE">
        <w:rPr>
          <w:rFonts w:ascii="Arial" w:eastAsia="Times New Roman" w:hAnsi="Arial" w:cs="Arial"/>
          <w:color w:val="000000"/>
          <w:sz w:val="20"/>
          <w:szCs w:val="20"/>
          <w:lang w:eastAsia="en-IN"/>
        </w:rPr>
        <w:t xml:space="preserve"> </w:t>
      </w:r>
      <w:r w:rsidRPr="008B6BD9">
        <w:rPr>
          <w:rFonts w:ascii="Arial" w:eastAsia="Times New Roman" w:hAnsi="Arial" w:cs="Arial"/>
          <w:color w:val="000000"/>
          <w:sz w:val="20"/>
          <w:szCs w:val="20"/>
          <w:lang w:eastAsia="en-IN"/>
        </w:rPr>
        <w:t>All Public &amp; Private Sector Scheduled Commercial Banks</w:t>
      </w:r>
    </w:p>
    <w:p w14:paraId="22F5A676"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8B6BD9">
        <w:rPr>
          <w:rFonts w:ascii="Arial" w:eastAsia="Times New Roman" w:hAnsi="Arial" w:cs="Arial"/>
          <w:b/>
          <w:bCs/>
          <w:color w:val="000000"/>
          <w:sz w:val="20"/>
          <w:szCs w:val="20"/>
          <w:lang w:eastAsia="en-IN"/>
        </w:rPr>
        <w:t>Interest Subvention Scheme for Kisan Credit Card (KCC) to Fisheries and Animal Husbandry farmers during the years 2018-19 and 2019-20</w:t>
      </w:r>
    </w:p>
    <w:p w14:paraId="44FFB8A9"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Please refer to our </w:t>
      </w:r>
      <w:hyperlink r:id="rId38" w:tgtFrame="_blank" w:history="1">
        <w:r w:rsidRPr="008B6BD9">
          <w:rPr>
            <w:rFonts w:ascii="Arial" w:eastAsia="Times New Roman" w:hAnsi="Arial" w:cs="Arial"/>
            <w:color w:val="0000FF"/>
            <w:sz w:val="20"/>
            <w:szCs w:val="20"/>
            <w:u w:val="single"/>
            <w:lang w:eastAsia="en-IN"/>
          </w:rPr>
          <w:t>circular FIDD.CO.FSD.BC.12/05.05.010/2018-19 dated February 4, 2019</w:t>
        </w:r>
      </w:hyperlink>
      <w:r w:rsidRPr="008B6BD9">
        <w:rPr>
          <w:rFonts w:ascii="Arial" w:eastAsia="Times New Roman" w:hAnsi="Arial" w:cs="Arial"/>
          <w:color w:val="000000"/>
          <w:sz w:val="20"/>
          <w:szCs w:val="20"/>
          <w:lang w:eastAsia="en-IN"/>
        </w:rPr>
        <w:t> extending KCC facility to animal husbandry farmers and fisheries for their working capital requirements and our letter dated May 27, 2019 conveying Government’s approval to extend the benefits of Interest Subvention at 2% and Prompt Repayment Incentive (PRI) at 3% to fisheries and animal husbandry farmers to meet their working capital needs under the KCC scheme.</w:t>
      </w:r>
    </w:p>
    <w:p w14:paraId="215C034A"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2. In this regard, it is advised that Government of India has now issued the operational guidelines of the Interest Subvention Scheme for Kisan Credit Card facility to fisheries and animal husbandry farmers for a period of two years i.e. </w:t>
      </w:r>
      <w:r w:rsidRPr="008B6BD9">
        <w:rPr>
          <w:rFonts w:ascii="Arial" w:eastAsia="Times New Roman" w:hAnsi="Arial" w:cs="Arial"/>
          <w:b/>
          <w:bCs/>
          <w:color w:val="000000"/>
          <w:sz w:val="20"/>
          <w:szCs w:val="20"/>
          <w:lang w:eastAsia="en-IN"/>
        </w:rPr>
        <w:t>2018-19 and 2019-20</w:t>
      </w:r>
      <w:r w:rsidRPr="008B6BD9">
        <w:rPr>
          <w:rFonts w:ascii="Arial" w:eastAsia="Times New Roman" w:hAnsi="Arial" w:cs="Arial"/>
          <w:color w:val="000000"/>
          <w:sz w:val="20"/>
          <w:szCs w:val="20"/>
          <w:lang w:eastAsia="en-IN"/>
        </w:rPr>
        <w:t> with the following stipulations:</w:t>
      </w:r>
    </w:p>
    <w:p w14:paraId="61F6E3D4"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 xml:space="preserve">In order to provide short-term loans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 2 lakh to farmers involved in activities related to Animal Husbandry and Fisheries, through a separate KCC for these activities, apart from the existing KCC for crop loan, at a concessional interest rate of 7% per annum during the years 2018-19 and 2019-20, it has been decided to provide interest subvention of 2% per annum to lending institutions viz. Public Sector Banks (PSBs) and Private Sector Commercial Banks (in respect of loans given by their rural and semi-urban branches only) on use of their own resources. This interest subvention of 2% will be calculated on the loan amount from the date of its disbursement / </w:t>
      </w:r>
      <w:proofErr w:type="spellStart"/>
      <w:r w:rsidRPr="008B6BD9">
        <w:rPr>
          <w:rFonts w:ascii="Arial" w:eastAsia="Times New Roman" w:hAnsi="Arial" w:cs="Arial"/>
          <w:color w:val="000000"/>
          <w:sz w:val="20"/>
          <w:szCs w:val="20"/>
          <w:lang w:eastAsia="en-IN"/>
        </w:rPr>
        <w:t>drawal</w:t>
      </w:r>
      <w:proofErr w:type="spellEnd"/>
      <w:r w:rsidRPr="008B6BD9">
        <w:rPr>
          <w:rFonts w:ascii="Arial" w:eastAsia="Times New Roman" w:hAnsi="Arial" w:cs="Arial"/>
          <w:color w:val="000000"/>
          <w:sz w:val="20"/>
          <w:szCs w:val="20"/>
          <w:lang w:eastAsia="en-IN"/>
        </w:rPr>
        <w:t xml:space="preserve">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date of actual repayment of the loan by the farmer or up to the due date of the loan fixed by the banks, whichever is earlier, subject to a maximum period of one year. In case of farmers possessing KCC for raising crops and involved in activities related to animal husbandry and/or fisheries, the KCC for animal husbandry/fisheries shall be within the overall limit of ₹ 3 lakh.</w:t>
      </w:r>
    </w:p>
    <w:p w14:paraId="578F33D3"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 xml:space="preserve">To provide an additional interest subvention of 3% per annum to such of those farmers repaying in time i.e. from the date of disbursement of the working capital loan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actual date of repayment by farmers or </w:t>
      </w:r>
      <w:proofErr w:type="spellStart"/>
      <w:r w:rsidRPr="008B6BD9">
        <w:rPr>
          <w:rFonts w:ascii="Arial" w:eastAsia="Times New Roman" w:hAnsi="Arial" w:cs="Arial"/>
          <w:color w:val="000000"/>
          <w:sz w:val="20"/>
          <w:szCs w:val="20"/>
          <w:lang w:eastAsia="en-IN"/>
        </w:rPr>
        <w:t>upto</w:t>
      </w:r>
      <w:proofErr w:type="spellEnd"/>
      <w:r w:rsidRPr="008B6BD9">
        <w:rPr>
          <w:rFonts w:ascii="Arial" w:eastAsia="Times New Roman" w:hAnsi="Arial" w:cs="Arial"/>
          <w:color w:val="000000"/>
          <w:sz w:val="20"/>
          <w:szCs w:val="20"/>
          <w:lang w:eastAsia="en-IN"/>
        </w:rPr>
        <w:t xml:space="preserve"> the due date fixed by the banks for repayment of loan, whichever is earlier, subject to a maximum period of one year from the date of disbursement. This also implies that the farmers repaying promptly as above would get short term loans @ 4% per annum during the years 2018-19 and 2019-20. This benefit would accrue to only those farmers who repay their </w:t>
      </w:r>
      <w:r w:rsidRPr="008B6BD9">
        <w:rPr>
          <w:rFonts w:ascii="Arial" w:eastAsia="Times New Roman" w:hAnsi="Arial" w:cs="Arial"/>
          <w:b/>
          <w:bCs/>
          <w:color w:val="000000"/>
          <w:sz w:val="20"/>
          <w:szCs w:val="20"/>
          <w:lang w:eastAsia="en-IN"/>
        </w:rPr>
        <w:t>both</w:t>
      </w:r>
      <w:r w:rsidRPr="008B6BD9">
        <w:rPr>
          <w:rFonts w:ascii="Arial" w:eastAsia="Times New Roman" w:hAnsi="Arial" w:cs="Arial"/>
          <w:color w:val="000000"/>
          <w:sz w:val="20"/>
          <w:szCs w:val="20"/>
          <w:lang w:eastAsia="en-IN"/>
        </w:rPr>
        <w:t> short term crop loan and working capital loan for animal husbandry/fisheries activities in time.</w:t>
      </w:r>
    </w:p>
    <w:p w14:paraId="2BC41080"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Interest subvention is to be provided on a maximum limit of ₹ 2 lakh short term loan to farmers involved in animal husbandry and fisheries. The farmers already possessing KCC (crop loan) and involved in animal husbandry &amp; fisheries activities, can avail a sub-limit for such activities. However, the interest subvention and prompt repayment incentive benefit on short term loan (i.e. crop loan+ working capital loan for animal husbandry and fisheries) will be available only on an overall limit of ₹ 3 lakh per annum and subject to a maximum limit of ₹ 2 lakh per farmer involved in activities only related to animal husbandry and / or fisheries. </w:t>
      </w:r>
      <w:r w:rsidRPr="008B6BD9">
        <w:rPr>
          <w:rFonts w:ascii="Arial" w:eastAsia="Times New Roman" w:hAnsi="Arial" w:cs="Arial"/>
          <w:b/>
          <w:bCs/>
          <w:color w:val="000000"/>
          <w:sz w:val="20"/>
          <w:szCs w:val="20"/>
          <w:lang w:eastAsia="en-IN"/>
        </w:rPr>
        <w:t>The limit for crop loan component will take priority for interest subvention and prompt repayment incentive benefits and the residual amount will be considered towards animal husbandry and / or fisheries subject to cap as mentioned above.</w:t>
      </w:r>
      <w:r w:rsidRPr="008B6BD9">
        <w:rPr>
          <w:rFonts w:ascii="Arial" w:eastAsia="Times New Roman" w:hAnsi="Arial" w:cs="Arial"/>
          <w:color w:val="000000"/>
          <w:sz w:val="20"/>
          <w:szCs w:val="20"/>
          <w:lang w:eastAsia="en-IN"/>
        </w:rPr>
        <w:t> (</w:t>
      </w:r>
      <w:hyperlink r:id="rId39" w:tgtFrame="_blank" w:history="1">
        <w:r w:rsidRPr="008B6BD9">
          <w:rPr>
            <w:rFonts w:ascii="Arial" w:eastAsia="Times New Roman" w:hAnsi="Arial" w:cs="Arial"/>
            <w:color w:val="0000FF"/>
            <w:sz w:val="20"/>
            <w:szCs w:val="20"/>
            <w:u w:val="single"/>
            <w:lang w:eastAsia="en-IN"/>
          </w:rPr>
          <w:t>Illustrations</w:t>
        </w:r>
      </w:hyperlink>
      <w:r w:rsidRPr="008B6BD9">
        <w:rPr>
          <w:rFonts w:ascii="Arial" w:eastAsia="Times New Roman" w:hAnsi="Arial" w:cs="Arial"/>
          <w:color w:val="000000"/>
          <w:sz w:val="20"/>
          <w:szCs w:val="20"/>
          <w:lang w:eastAsia="en-IN"/>
        </w:rPr>
        <w:t>)</w:t>
      </w:r>
    </w:p>
    <w:p w14:paraId="1BB9D917"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To ensure hassle-free benefits to farmers under Interest Subvention Scheme, banks are advised to make Aadhar linkage mandatory for availing short-term loans for Animal Husbandry and Fisheries in 2018-19 and 2019-20.</w:t>
      </w:r>
    </w:p>
    <w:p w14:paraId="43CA11FC" w14:textId="77777777" w:rsidR="00E07FD2" w:rsidRPr="008B6BD9" w:rsidRDefault="00E07FD2" w:rsidP="00E07FD2">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The Interest Subvention Scheme is being put on DBT mode on ‘In Kind/services’ basis and all short term loans processed from 2018-19 are required to be brought on ISS portal / DBT platform. Banks are advised to capture and submit the category wise data of beneficiaries under the scheme and report the same on ISS portal individual farmer wise once it is launched by the Ministry of Agriculture and Farmers Welfare to settle the claims arising from 2018-19 onwards.</w:t>
      </w:r>
    </w:p>
    <w:p w14:paraId="3A20C717"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3. Banks may give adequate publicity to the above scheme so that the eligible farmers can avail the benefits.</w:t>
      </w:r>
    </w:p>
    <w:p w14:paraId="16828F54"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lastRenderedPageBreak/>
        <w:t>4. It is also advised as under:</w:t>
      </w:r>
    </w:p>
    <w:p w14:paraId="29C1586B"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8B6BD9">
        <w:rPr>
          <w:rFonts w:ascii="Arial" w:eastAsia="Times New Roman" w:hAnsi="Arial" w:cs="Arial"/>
          <w:color w:val="000000"/>
          <w:sz w:val="20"/>
          <w:szCs w:val="20"/>
          <w:lang w:eastAsia="en-IN"/>
        </w:rPr>
        <w:t>i</w:t>
      </w:r>
      <w:proofErr w:type="spellEnd"/>
      <w:r w:rsidRPr="008B6BD9">
        <w:rPr>
          <w:rFonts w:ascii="Arial" w:eastAsia="Times New Roman" w:hAnsi="Arial" w:cs="Arial"/>
          <w:color w:val="000000"/>
          <w:sz w:val="20"/>
          <w:szCs w:val="20"/>
          <w:lang w:eastAsia="en-IN"/>
        </w:rPr>
        <w:t>) In respect of 2% interest subvention, banks are required to submit their claims on a half-yearly basis as on September 30 and March 31 for the years 2018-2019 and 2019-2020, of which, the latter needs to be accompanied by a Statutory Auditor’s certificate certifying the claims for subvention for the financial year ended on March 31 of the corresponding year as true and correct.</w:t>
      </w:r>
    </w:p>
    <w:p w14:paraId="7969BE9C"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ii) In respect of 3% prompt repayment incentive, banks may submit their one-time consolidated claims pertaining to the disbursements made during the years 2018-19 and 2019-20, accompanied by Statutory Auditor’s certificate certifying the claim as true and correct. Any remaining claim pertaining to the disbursements made during the years 2018-19 and 2019-20 and due during 2019-20 and 2020-21 respectively, may be consolidated separately and marked as an 'Additional Claim' duly certified by the Statutory Auditor as true and correct.</w:t>
      </w:r>
    </w:p>
    <w:p w14:paraId="68C25A49"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iii) Claims in respect of 2% interest subvention and 3% prompt repayment incentive may be submitted </w:t>
      </w:r>
      <w:r w:rsidRPr="008B6BD9">
        <w:rPr>
          <w:rFonts w:ascii="Arial" w:eastAsia="Times New Roman" w:hAnsi="Arial" w:cs="Arial"/>
          <w:b/>
          <w:bCs/>
          <w:color w:val="000000"/>
          <w:sz w:val="20"/>
          <w:szCs w:val="20"/>
          <w:lang w:eastAsia="en-IN"/>
        </w:rPr>
        <w:t>within a quarter from the close of the half year/year</w:t>
      </w:r>
      <w:r w:rsidRPr="008B6BD9">
        <w:rPr>
          <w:rFonts w:ascii="Arial" w:eastAsia="Times New Roman" w:hAnsi="Arial" w:cs="Arial"/>
          <w:color w:val="000000"/>
          <w:sz w:val="20"/>
          <w:szCs w:val="20"/>
          <w:lang w:eastAsia="en-IN"/>
        </w:rPr>
        <w:t>. The ‘Additional Claim’ pertaining to the disbursements made during the years 2018-19 and 2019-20 may be submitted latest by </w:t>
      </w:r>
      <w:r w:rsidRPr="008B6BD9">
        <w:rPr>
          <w:rFonts w:ascii="Arial" w:eastAsia="Times New Roman" w:hAnsi="Arial" w:cs="Arial"/>
          <w:b/>
          <w:bCs/>
          <w:color w:val="000000"/>
          <w:sz w:val="20"/>
          <w:szCs w:val="20"/>
          <w:lang w:eastAsia="en-IN"/>
        </w:rPr>
        <w:t xml:space="preserve">June 30, 2020 and </w:t>
      </w:r>
      <w:proofErr w:type="gramStart"/>
      <w:r w:rsidRPr="008B6BD9">
        <w:rPr>
          <w:rFonts w:ascii="Arial" w:eastAsia="Times New Roman" w:hAnsi="Arial" w:cs="Arial"/>
          <w:b/>
          <w:bCs/>
          <w:color w:val="000000"/>
          <w:sz w:val="20"/>
          <w:szCs w:val="20"/>
          <w:lang w:eastAsia="en-IN"/>
        </w:rPr>
        <w:t>June 30, 2021</w:t>
      </w:r>
      <w:proofErr w:type="gramEnd"/>
      <w:r w:rsidRPr="008B6BD9">
        <w:rPr>
          <w:rFonts w:ascii="Arial" w:eastAsia="Times New Roman" w:hAnsi="Arial" w:cs="Arial"/>
          <w:color w:val="000000"/>
          <w:sz w:val="20"/>
          <w:szCs w:val="20"/>
          <w:lang w:eastAsia="en-IN"/>
        </w:rPr>
        <w:t> respectively. The above mentioned claims may be submitted in </w:t>
      </w:r>
      <w:hyperlink r:id="rId40" w:tgtFrame="_blank" w:history="1">
        <w:r w:rsidRPr="008B6BD9">
          <w:rPr>
            <w:rFonts w:ascii="Arial" w:eastAsia="Times New Roman" w:hAnsi="Arial" w:cs="Arial"/>
            <w:b/>
            <w:bCs/>
            <w:color w:val="0000FF"/>
            <w:sz w:val="20"/>
            <w:szCs w:val="20"/>
            <w:u w:val="single"/>
            <w:lang w:eastAsia="en-IN"/>
          </w:rPr>
          <w:t>Formats I</w:t>
        </w:r>
      </w:hyperlink>
      <w:r w:rsidRPr="008B6BD9">
        <w:rPr>
          <w:rFonts w:ascii="Arial" w:eastAsia="Times New Roman" w:hAnsi="Arial" w:cs="Arial"/>
          <w:b/>
          <w:bCs/>
          <w:color w:val="000000"/>
          <w:sz w:val="20"/>
          <w:szCs w:val="20"/>
          <w:lang w:eastAsia="en-IN"/>
        </w:rPr>
        <w:t> and </w:t>
      </w:r>
      <w:hyperlink r:id="rId41" w:tgtFrame="_blank" w:history="1">
        <w:r w:rsidRPr="008B6BD9">
          <w:rPr>
            <w:rFonts w:ascii="Arial" w:eastAsia="Times New Roman" w:hAnsi="Arial" w:cs="Arial"/>
            <w:b/>
            <w:bCs/>
            <w:color w:val="0000FF"/>
            <w:sz w:val="20"/>
            <w:szCs w:val="20"/>
            <w:u w:val="single"/>
            <w:lang w:eastAsia="en-IN"/>
          </w:rPr>
          <w:t>II</w:t>
        </w:r>
      </w:hyperlink>
      <w:r w:rsidRPr="008B6BD9">
        <w:rPr>
          <w:rFonts w:ascii="Arial" w:eastAsia="Times New Roman" w:hAnsi="Arial" w:cs="Arial"/>
          <w:b/>
          <w:bCs/>
          <w:color w:val="000000"/>
          <w:sz w:val="20"/>
          <w:szCs w:val="20"/>
          <w:lang w:eastAsia="en-IN"/>
        </w:rPr>
        <w:t> (enclosed herewith)</w:t>
      </w:r>
      <w:r w:rsidRPr="008B6BD9">
        <w:rPr>
          <w:rFonts w:ascii="Arial" w:eastAsia="Times New Roman" w:hAnsi="Arial" w:cs="Arial"/>
          <w:color w:val="000000"/>
          <w:sz w:val="20"/>
          <w:szCs w:val="20"/>
          <w:lang w:eastAsia="en-IN"/>
        </w:rPr>
        <w:t> to the Chief General Manager, Financial Inclusion and Development Department, Reserve Bank of India, Central Office, Shahid Bhagat Singh Marg, Fort, Mumbai – 400 001 both in hard copy and soft copy (excel format) to </w:t>
      </w:r>
      <w:hyperlink r:id="rId42" w:history="1">
        <w:r w:rsidRPr="008B6BD9">
          <w:rPr>
            <w:rFonts w:ascii="Arial" w:eastAsia="Times New Roman" w:hAnsi="Arial" w:cs="Arial"/>
            <w:color w:val="0000FF"/>
            <w:sz w:val="20"/>
            <w:szCs w:val="20"/>
            <w:u w:val="single"/>
            <w:lang w:eastAsia="en-IN"/>
          </w:rPr>
          <w:t>fsdco@rbi.org.in</w:t>
        </w:r>
      </w:hyperlink>
      <w:r w:rsidRPr="008B6BD9">
        <w:rPr>
          <w:rFonts w:ascii="Arial" w:eastAsia="Times New Roman" w:hAnsi="Arial" w:cs="Arial"/>
          <w:color w:val="000000"/>
          <w:sz w:val="20"/>
          <w:szCs w:val="20"/>
          <w:lang w:eastAsia="en-IN"/>
        </w:rPr>
        <w:t>.</w:t>
      </w:r>
    </w:p>
    <w:p w14:paraId="030E86DA" w14:textId="77777777" w:rsidR="00E07FD2" w:rsidRPr="008B6BD9"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8B6BD9">
        <w:rPr>
          <w:rFonts w:ascii="Arial" w:eastAsia="Times New Roman" w:hAnsi="Arial" w:cs="Arial"/>
          <w:color w:val="000000"/>
          <w:sz w:val="20"/>
          <w:szCs w:val="20"/>
          <w:lang w:eastAsia="en-IN"/>
        </w:rPr>
        <w:t>iv) The copies of such audited claims may also be submitted to the </w:t>
      </w:r>
      <w:r w:rsidRPr="008B6BD9">
        <w:rPr>
          <w:rFonts w:ascii="Arial" w:eastAsia="Times New Roman" w:hAnsi="Arial" w:cs="Arial"/>
          <w:b/>
          <w:bCs/>
          <w:color w:val="000000"/>
          <w:sz w:val="20"/>
          <w:szCs w:val="20"/>
          <w:lang w:eastAsia="en-IN"/>
        </w:rPr>
        <w:t>Department of Animal Husbandry and Dairying</w:t>
      </w:r>
      <w:r w:rsidRPr="008B6BD9">
        <w:rPr>
          <w:rFonts w:ascii="Arial" w:eastAsia="Times New Roman" w:hAnsi="Arial" w:cs="Arial"/>
          <w:color w:val="000000"/>
          <w:sz w:val="20"/>
          <w:szCs w:val="20"/>
          <w:lang w:eastAsia="en-IN"/>
        </w:rPr>
        <w:t>, Ministry of Fisheries, Animal Husbandry and Dairying, Government of India and </w:t>
      </w:r>
      <w:r w:rsidRPr="008B6BD9">
        <w:rPr>
          <w:rFonts w:ascii="Arial" w:eastAsia="Times New Roman" w:hAnsi="Arial" w:cs="Arial"/>
          <w:b/>
          <w:bCs/>
          <w:color w:val="000000"/>
          <w:sz w:val="20"/>
          <w:szCs w:val="20"/>
          <w:lang w:eastAsia="en-IN"/>
        </w:rPr>
        <w:t>Department of Agriculture Cooperation and Farmers Welfare</w:t>
      </w:r>
      <w:r w:rsidRPr="008B6BD9">
        <w:rPr>
          <w:rFonts w:ascii="Arial" w:eastAsia="Times New Roman" w:hAnsi="Arial" w:cs="Arial"/>
          <w:color w:val="000000"/>
          <w:sz w:val="20"/>
          <w:szCs w:val="20"/>
          <w:lang w:eastAsia="en-IN"/>
        </w:rPr>
        <w:t>, Ministry of Agriculture &amp; Farmers Welfare, Government of India.</w:t>
      </w:r>
    </w:p>
    <w:p w14:paraId="5F5814FD" w14:textId="77777777" w:rsidR="00E07FD2" w:rsidRDefault="00E07FD2" w:rsidP="00E07FD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69D359D0" w14:textId="18AA8151" w:rsidR="00F72453" w:rsidRPr="002516EE" w:rsidRDefault="00F72453"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RBI/2019-20/40</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FIDD.CO.LBS.BC.No.09/02.01.001/2019-20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August 13, 2019</w:t>
      </w:r>
    </w:p>
    <w:p w14:paraId="6C296D6E" w14:textId="51CAA2DA" w:rsidR="00F72453" w:rsidRPr="00C41483" w:rsidRDefault="00F72453" w:rsidP="00F7245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Chairmen / Managing Directors &amp; CEOs</w:t>
      </w:r>
      <w:r w:rsidR="002516EE">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Scheduled Commercial Banks (including Regional Rural Banks),</w:t>
      </w:r>
      <w:r w:rsidR="002516EE">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Small Finance Banks and Payments Banks</w:t>
      </w:r>
    </w:p>
    <w:p w14:paraId="29C0A2FA" w14:textId="77777777" w:rsidR="00F72453" w:rsidRPr="00C41483" w:rsidRDefault="00F72453" w:rsidP="00F7245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Direct Benefit Transfer (DBT) Scheme – Implementation</w:t>
      </w:r>
    </w:p>
    <w:p w14:paraId="5E390B1D" w14:textId="77777777" w:rsidR="00F72453" w:rsidRPr="00C41483" w:rsidRDefault="00F72453" w:rsidP="00F7245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Please refer to </w:t>
      </w:r>
      <w:hyperlink r:id="rId43" w:tgtFrame="_blank" w:history="1">
        <w:r w:rsidRPr="00C41483">
          <w:rPr>
            <w:rFonts w:ascii="Arial" w:eastAsia="Times New Roman" w:hAnsi="Arial" w:cs="Arial"/>
            <w:color w:val="0000FF"/>
            <w:sz w:val="20"/>
            <w:szCs w:val="20"/>
            <w:u w:val="single"/>
            <w:lang w:eastAsia="en-IN"/>
          </w:rPr>
          <w:t>Circular RPCD.CO.LBS.BC.No.75/02.01.001/2012-13 dated May 10, 2013</w:t>
        </w:r>
      </w:hyperlink>
      <w:r w:rsidRPr="00C41483">
        <w:rPr>
          <w:rFonts w:ascii="Arial" w:eastAsia="Times New Roman" w:hAnsi="Arial" w:cs="Arial"/>
          <w:color w:val="000000"/>
          <w:sz w:val="20"/>
          <w:szCs w:val="20"/>
          <w:lang w:eastAsia="en-IN"/>
        </w:rPr>
        <w:t> and </w:t>
      </w:r>
      <w:hyperlink r:id="rId44" w:tgtFrame="_blank" w:history="1">
        <w:r w:rsidRPr="00C41483">
          <w:rPr>
            <w:rFonts w:ascii="Arial" w:eastAsia="Times New Roman" w:hAnsi="Arial" w:cs="Arial"/>
            <w:color w:val="0000FF"/>
            <w:sz w:val="20"/>
            <w:szCs w:val="20"/>
            <w:u w:val="single"/>
            <w:lang w:eastAsia="en-IN"/>
          </w:rPr>
          <w:t>RPCD.CO.LBS.BC.No.11/02.01.001/2013-14 dated July 9, 2013</w:t>
        </w:r>
      </w:hyperlink>
      <w:r w:rsidRPr="00C41483">
        <w:rPr>
          <w:rFonts w:ascii="Arial" w:eastAsia="Times New Roman" w:hAnsi="Arial" w:cs="Arial"/>
          <w:color w:val="000000"/>
          <w:sz w:val="20"/>
          <w:szCs w:val="20"/>
          <w:lang w:eastAsia="en-IN"/>
        </w:rPr>
        <w:t> regarding the use of Aadhaar to facilitate delivery of social welfare benefits by direct credit to the bank accounts of beneficiaries.</w:t>
      </w:r>
    </w:p>
    <w:p w14:paraId="4D6C3D83" w14:textId="77777777" w:rsidR="00F72453" w:rsidRPr="00C41483" w:rsidRDefault="00F72453" w:rsidP="00F7245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In this connection, banks are advised to ensure that opening of bank accounts and seeding of Aadhaar numbers with existing or new accounts of eligible beneficiaries opened for the purpose of Direct Benefit Transfer (DBT) under social welfare schemes, is in conformity with the provisions listed under Section 16 of the </w:t>
      </w:r>
      <w:hyperlink r:id="rId45" w:tgtFrame="_blank" w:history="1">
        <w:r w:rsidRPr="00C41483">
          <w:rPr>
            <w:rFonts w:ascii="Arial" w:eastAsia="Times New Roman" w:hAnsi="Arial" w:cs="Arial"/>
            <w:color w:val="0000FF"/>
            <w:sz w:val="20"/>
            <w:szCs w:val="20"/>
            <w:u w:val="single"/>
            <w:lang w:eastAsia="en-IN"/>
          </w:rPr>
          <w:t>Master Direction - Know Your Customer (KYC) Direction, 2016 (updated as on May 29, 2019)</w:t>
        </w:r>
      </w:hyperlink>
      <w:r w:rsidRPr="00C41483">
        <w:rPr>
          <w:rFonts w:ascii="Arial" w:eastAsia="Times New Roman" w:hAnsi="Arial" w:cs="Arial"/>
          <w:color w:val="000000"/>
          <w:sz w:val="20"/>
          <w:szCs w:val="20"/>
          <w:lang w:eastAsia="en-IN"/>
        </w:rPr>
        <w:t> and extant provisions of the Prevention of Money Laundering (PML) Rules.</w:t>
      </w:r>
    </w:p>
    <w:p w14:paraId="4C80AC98" w14:textId="77777777" w:rsidR="00F72453" w:rsidRPr="00C41483" w:rsidRDefault="00F72453" w:rsidP="00F7245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above guidelines will be in supersession of </w:t>
      </w:r>
      <w:hyperlink r:id="rId46" w:tgtFrame="_blank" w:history="1">
        <w:r w:rsidRPr="00C41483">
          <w:rPr>
            <w:rFonts w:ascii="Arial" w:eastAsia="Times New Roman" w:hAnsi="Arial" w:cs="Arial"/>
            <w:color w:val="0000FF"/>
            <w:sz w:val="20"/>
            <w:szCs w:val="20"/>
            <w:u w:val="single"/>
            <w:lang w:eastAsia="en-IN"/>
          </w:rPr>
          <w:t>Circular FIDD.CO.LBS.BC.No.17/02.01.001/2015-16 dated January 14, 2016</w:t>
        </w:r>
      </w:hyperlink>
      <w:r w:rsidRPr="00C41483">
        <w:rPr>
          <w:rFonts w:ascii="Arial" w:eastAsia="Times New Roman" w:hAnsi="Arial" w:cs="Arial"/>
          <w:color w:val="000000"/>
          <w:sz w:val="20"/>
          <w:szCs w:val="20"/>
          <w:lang w:eastAsia="en-IN"/>
        </w:rPr>
        <w:t> on “Direct Benefit Transfer (DBT) Scheme – Seeding of Aadhaar in Bank Accounts – Clarification”.</w:t>
      </w:r>
    </w:p>
    <w:p w14:paraId="7F6A3388" w14:textId="77777777" w:rsidR="00F72453" w:rsidRDefault="00F72453" w:rsidP="00F7245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6F41A8D3" w14:textId="77777777" w:rsidR="002516EE" w:rsidRDefault="002516EE"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409508F8" w14:textId="77777777" w:rsidR="002516EE" w:rsidRDefault="002516EE"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1E5F8E7D" w14:textId="77777777" w:rsidR="002516EE" w:rsidRDefault="002516EE"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06E76DD0" w14:textId="5DC8687D" w:rsidR="00C30A10" w:rsidRPr="002516EE" w:rsidRDefault="00C30A10"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RBI/2019-20/31</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DCBR.BPD (PCB/RCB).Cir.No.02/13.01.000/2019-20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August 2, 2019</w:t>
      </w:r>
    </w:p>
    <w:p w14:paraId="776C6E72" w14:textId="30173F86"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Chief Executive Officer</w:t>
      </w:r>
      <w:r w:rsidR="002516E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Primary (Urban) Co-operative Banks,</w:t>
      </w:r>
      <w:r w:rsidR="002516E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State/ Central Co-operative Banks</w:t>
      </w:r>
    </w:p>
    <w:p w14:paraId="4CDF3CDF"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Financial Inclusion - Access to Banking Services - Basic Savings Bank Deposit Account (BSBDA)</w:t>
      </w:r>
    </w:p>
    <w:p w14:paraId="2B2F0996"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our </w:t>
      </w:r>
      <w:hyperlink r:id="rId47" w:tgtFrame="_blank" w:history="1">
        <w:r w:rsidRPr="002774DE">
          <w:rPr>
            <w:rFonts w:ascii="Arial" w:eastAsia="Times New Roman" w:hAnsi="Arial" w:cs="Arial"/>
            <w:color w:val="0000FF"/>
            <w:sz w:val="20"/>
            <w:szCs w:val="20"/>
            <w:u w:val="single"/>
            <w:lang w:eastAsia="en-IN"/>
          </w:rPr>
          <w:t>circulars UBD.BPD.Cir.No.5/13.01.000/2012-13 dated August 17, 2012</w:t>
        </w:r>
      </w:hyperlink>
      <w:r w:rsidRPr="002774DE">
        <w:rPr>
          <w:rFonts w:ascii="Arial" w:eastAsia="Times New Roman" w:hAnsi="Arial" w:cs="Arial"/>
          <w:color w:val="000000"/>
          <w:sz w:val="20"/>
          <w:szCs w:val="20"/>
          <w:lang w:eastAsia="en-IN"/>
        </w:rPr>
        <w:t> and </w:t>
      </w:r>
      <w:hyperlink r:id="rId48" w:tgtFrame="_blank" w:history="1">
        <w:r w:rsidRPr="002774DE">
          <w:rPr>
            <w:rFonts w:ascii="Arial" w:eastAsia="Times New Roman" w:hAnsi="Arial" w:cs="Arial"/>
            <w:color w:val="0000FF"/>
            <w:sz w:val="20"/>
            <w:szCs w:val="20"/>
            <w:u w:val="single"/>
            <w:lang w:eastAsia="en-IN"/>
          </w:rPr>
          <w:t>RPCD.CO.RRB.RCB.BC.No.24/07.38.01/2012-13 dated August 22, 2012</w:t>
        </w:r>
      </w:hyperlink>
      <w:r w:rsidRPr="002774DE">
        <w:rPr>
          <w:rFonts w:ascii="Arial" w:eastAsia="Times New Roman" w:hAnsi="Arial" w:cs="Arial"/>
          <w:color w:val="000000"/>
          <w:sz w:val="20"/>
          <w:szCs w:val="20"/>
          <w:lang w:eastAsia="en-IN"/>
        </w:rPr>
        <w:t> on the captioned subject.</w:t>
      </w:r>
    </w:p>
    <w:p w14:paraId="468F7969"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The Basic Savings Bank Deposit (BSBD) Account was designed as a savings account which would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09319AA6"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Deposit of cash at bank branch as well as ATMs/CDMs</w:t>
      </w:r>
    </w:p>
    <w:p w14:paraId="4F067C30"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Receipt/ credit of money through any electronic channel or by means of deposit /collection of cheques drawn by Central/State Government agencies and departments</w:t>
      </w:r>
    </w:p>
    <w:p w14:paraId="46D72BE2"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(iii) No limit on number and value of deposits that can be made in a month</w:t>
      </w:r>
    </w:p>
    <w:p w14:paraId="47BB4CE6"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Minimum of four withdrawals in a month, including ATM withdrawal</w:t>
      </w:r>
    </w:p>
    <w:p w14:paraId="7781FE8D"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 ATM Card or ATM-cum-Debit Card</w:t>
      </w:r>
    </w:p>
    <w:p w14:paraId="510F4FBF"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BSBD Account shall be considered a normal banking service available to all.</w:t>
      </w:r>
    </w:p>
    <w:p w14:paraId="53733B36"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3. Banks are free to provide additional value-added services, including issue of cheque book, beyond the above minimum facilities, which may/may not be priced (in a non-discriminatory manner) subject to disclosure. The </w:t>
      </w:r>
      <w:proofErr w:type="spellStart"/>
      <w:r w:rsidRPr="002774DE">
        <w:rPr>
          <w:rFonts w:ascii="Arial" w:eastAsia="Times New Roman" w:hAnsi="Arial" w:cs="Arial"/>
          <w:color w:val="000000"/>
          <w:sz w:val="20"/>
          <w:szCs w:val="20"/>
          <w:lang w:eastAsia="en-IN"/>
        </w:rPr>
        <w:t>availment</w:t>
      </w:r>
      <w:proofErr w:type="spellEnd"/>
      <w:r w:rsidRPr="002774DE">
        <w:rPr>
          <w:rFonts w:ascii="Arial" w:eastAsia="Times New Roman" w:hAnsi="Arial" w:cs="Arial"/>
          <w:color w:val="000000"/>
          <w:sz w:val="20"/>
          <w:szCs w:val="20"/>
          <w:lang w:eastAsia="en-IN"/>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06B364E1"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holders of BSBD Account will not be eligible for opening any other savings bank deposit account in that bank. If a customer has any existing savings bank deposit account in that bank, he/she will be required to close it within 30 days from the date of opening a BSBD Account. Further, before opening a BSBD account, the bank should obtain a declaration from the customer that he/she is not having a BSBD account in any other bank.</w:t>
      </w:r>
    </w:p>
    <w:p w14:paraId="2B31D28C"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The BSBD Account shall be subject to RBI instructions on KYC/AML for opening of bank accounts issued vide </w:t>
      </w:r>
      <w:hyperlink r:id="rId49" w:tgtFrame="_blank" w:history="1">
        <w:r w:rsidRPr="002774DE">
          <w:rPr>
            <w:rFonts w:ascii="Arial" w:eastAsia="Times New Roman" w:hAnsi="Arial" w:cs="Arial"/>
            <w:color w:val="0000FF"/>
            <w:sz w:val="20"/>
            <w:szCs w:val="20"/>
            <w:u w:val="single"/>
            <w:lang w:eastAsia="en-IN"/>
          </w:rPr>
          <w:t>Master Direction DBR.AML.BC.No.81/14.01.001/2015-16 dated February 25, 2016</w:t>
        </w:r>
      </w:hyperlink>
      <w:r w:rsidRPr="002774DE">
        <w:rPr>
          <w:rFonts w:ascii="Arial" w:eastAsia="Times New Roman" w:hAnsi="Arial" w:cs="Arial"/>
          <w:color w:val="000000"/>
          <w:sz w:val="20"/>
          <w:szCs w:val="20"/>
          <w:lang w:eastAsia="en-IN"/>
        </w:rPr>
        <w:t> on ‘Master Direction - Know Your Customer (KYC) Direction, 2016’, as amended from time to time.</w:t>
      </w:r>
    </w:p>
    <w:p w14:paraId="3167114A"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The instructions issued on free transactions available for normal savings bank account in own-bank/other bank ATMs vide </w:t>
      </w:r>
      <w:hyperlink r:id="rId50" w:tgtFrame="_blank" w:history="1">
        <w:r w:rsidRPr="002774DE">
          <w:rPr>
            <w:rFonts w:ascii="Arial" w:eastAsia="Times New Roman" w:hAnsi="Arial" w:cs="Arial"/>
            <w:color w:val="0000FF"/>
            <w:sz w:val="20"/>
            <w:szCs w:val="20"/>
            <w:u w:val="single"/>
            <w:lang w:eastAsia="en-IN"/>
          </w:rPr>
          <w:t>circulars DPSS. CO.PD.No.316/02.10.002/2014-2015 dated August 14, 2014</w:t>
        </w:r>
      </w:hyperlink>
      <w:r w:rsidRPr="002774DE">
        <w:rPr>
          <w:rFonts w:ascii="Arial" w:eastAsia="Times New Roman" w:hAnsi="Arial" w:cs="Arial"/>
          <w:color w:val="000000"/>
          <w:sz w:val="20"/>
          <w:szCs w:val="20"/>
          <w:lang w:eastAsia="en-IN"/>
        </w:rPr>
        <w:t> and </w:t>
      </w:r>
      <w:hyperlink r:id="rId51" w:tgtFrame="_blank" w:history="1">
        <w:r w:rsidRPr="002774DE">
          <w:rPr>
            <w:rFonts w:ascii="Arial" w:eastAsia="Times New Roman" w:hAnsi="Arial" w:cs="Arial"/>
            <w:color w:val="0000FF"/>
            <w:sz w:val="20"/>
            <w:szCs w:val="20"/>
            <w:u w:val="single"/>
            <w:lang w:eastAsia="en-IN"/>
          </w:rPr>
          <w:t>DPSS. CO.PD.No.659/02.10.002/2014-2015 dated October 10, 2014</w:t>
        </w:r>
      </w:hyperlink>
      <w:r w:rsidRPr="002774DE">
        <w:rPr>
          <w:rFonts w:ascii="Arial" w:eastAsia="Times New Roman" w:hAnsi="Arial" w:cs="Arial"/>
          <w:color w:val="000000"/>
          <w:sz w:val="20"/>
          <w:szCs w:val="20"/>
          <w:lang w:eastAsia="en-IN"/>
        </w:rPr>
        <w:t> are not applicable to BSBD accounts. The minimum free withdrawals available to the BSBD Account holders can be made at all ATMs (own-bank/other bank ATMs).</w:t>
      </w:r>
    </w:p>
    <w:p w14:paraId="5A0F01D9"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7. This circular supersedes earlier instructions issued vide </w:t>
      </w:r>
      <w:hyperlink r:id="rId52" w:tgtFrame="_blank" w:history="1">
        <w:r w:rsidRPr="002774DE">
          <w:rPr>
            <w:rFonts w:ascii="Arial" w:eastAsia="Times New Roman" w:hAnsi="Arial" w:cs="Arial"/>
            <w:color w:val="0000FF"/>
            <w:sz w:val="20"/>
            <w:szCs w:val="20"/>
            <w:u w:val="single"/>
            <w:lang w:eastAsia="en-IN"/>
          </w:rPr>
          <w:t>circulars UBD. BPD. Cir. No. 5/13.01.000/2012-13 dated August 17, 2012</w:t>
        </w:r>
      </w:hyperlink>
      <w:r w:rsidRPr="002774DE">
        <w:rPr>
          <w:rFonts w:ascii="Arial" w:eastAsia="Times New Roman" w:hAnsi="Arial" w:cs="Arial"/>
          <w:color w:val="000000"/>
          <w:sz w:val="20"/>
          <w:szCs w:val="20"/>
          <w:lang w:eastAsia="en-IN"/>
        </w:rPr>
        <w:t> and </w:t>
      </w:r>
      <w:hyperlink r:id="rId53" w:tgtFrame="_blank" w:history="1">
        <w:r w:rsidRPr="002774DE">
          <w:rPr>
            <w:rFonts w:ascii="Arial" w:eastAsia="Times New Roman" w:hAnsi="Arial" w:cs="Arial"/>
            <w:color w:val="0000FF"/>
            <w:sz w:val="20"/>
            <w:szCs w:val="20"/>
            <w:u w:val="single"/>
            <w:lang w:eastAsia="en-IN"/>
          </w:rPr>
          <w:t>RPCD. CO. RRB. RCB. BC. No. 24/07.38.01/2012-13 dated August 22, 2012</w:t>
        </w:r>
      </w:hyperlink>
      <w:r w:rsidRPr="002774DE">
        <w:rPr>
          <w:rFonts w:ascii="Arial" w:eastAsia="Times New Roman" w:hAnsi="Arial" w:cs="Arial"/>
          <w:color w:val="000000"/>
          <w:sz w:val="20"/>
          <w:szCs w:val="20"/>
          <w:lang w:eastAsia="en-IN"/>
        </w:rPr>
        <w:t> on ‘Financial Inclusion-Access to Banking Services–Basic Savings Bank Deposit Account’ and </w:t>
      </w:r>
      <w:hyperlink r:id="rId54" w:tgtFrame="_blank" w:history="1">
        <w:r w:rsidRPr="002774DE">
          <w:rPr>
            <w:rFonts w:ascii="Arial" w:eastAsia="Times New Roman" w:hAnsi="Arial" w:cs="Arial"/>
            <w:color w:val="0000FF"/>
            <w:sz w:val="20"/>
            <w:szCs w:val="20"/>
            <w:u w:val="single"/>
            <w:lang w:eastAsia="en-IN"/>
          </w:rPr>
          <w:t>UBD. BPD. (PCB) Cir No.35/13.01.000/2013-14 dated October 31, 2013</w:t>
        </w:r>
      </w:hyperlink>
      <w:r w:rsidRPr="002774DE">
        <w:rPr>
          <w:rFonts w:ascii="Arial" w:eastAsia="Times New Roman" w:hAnsi="Arial" w:cs="Arial"/>
          <w:color w:val="000000"/>
          <w:sz w:val="20"/>
          <w:szCs w:val="20"/>
          <w:lang w:eastAsia="en-IN"/>
        </w:rPr>
        <w:t> and </w:t>
      </w:r>
      <w:hyperlink r:id="rId55" w:tgtFrame="_blank" w:history="1">
        <w:r w:rsidRPr="002774DE">
          <w:rPr>
            <w:rFonts w:ascii="Arial" w:eastAsia="Times New Roman" w:hAnsi="Arial" w:cs="Arial"/>
            <w:color w:val="0000FF"/>
            <w:sz w:val="20"/>
            <w:szCs w:val="20"/>
            <w:u w:val="single"/>
            <w:lang w:eastAsia="en-IN"/>
          </w:rPr>
          <w:t>RPCD.RRB.RCB.AML.BC No.36/07.51.018/2013-14 dated September 17, 2013</w:t>
        </w:r>
      </w:hyperlink>
      <w:r w:rsidRPr="002774DE">
        <w:rPr>
          <w:rFonts w:ascii="Arial" w:eastAsia="Times New Roman" w:hAnsi="Arial" w:cs="Arial"/>
          <w:color w:val="000000"/>
          <w:sz w:val="20"/>
          <w:szCs w:val="20"/>
          <w:lang w:eastAsia="en-IN"/>
        </w:rPr>
        <w:t> on ‘Financial Inclusion- Access to Banking Services – Basic Savings Bank Deposit Account (BSBDA) – FAQs’.</w:t>
      </w:r>
    </w:p>
    <w:p w14:paraId="0CC6C3FE"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8. These instructions will come into force with effect from September 1, 2019. Banks are advised to frame Board approved policy / operational guidelines in this regard.</w:t>
      </w:r>
    </w:p>
    <w:p w14:paraId="405998CD" w14:textId="77777777" w:rsidR="00C30A10"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539E94F" w14:textId="029C7FBF" w:rsidR="00C30A10" w:rsidRPr="002516EE" w:rsidRDefault="00C30A10"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RBI/2019-20/105</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FIDD.GSSD.CO.BC.No.15/09.01.01/2019-20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November 26, 2019</w:t>
      </w:r>
    </w:p>
    <w:p w14:paraId="29B860A1" w14:textId="0AA40DA4" w:rsidR="00C30A10" w:rsidRPr="002774DE" w:rsidRDefault="00C30A10" w:rsidP="00C30A1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 Managing Director &amp; CEO</w:t>
      </w:r>
      <w:r w:rsidR="002516E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Scheduled Commercial Banks &amp;</w:t>
      </w:r>
      <w:r w:rsidR="002516E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Small Finance Banks</w:t>
      </w:r>
    </w:p>
    <w:p w14:paraId="7361D00A"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 xml:space="preserve">Master Circular – Deendayal </w:t>
      </w:r>
      <w:proofErr w:type="spellStart"/>
      <w:r w:rsidRPr="002774DE">
        <w:rPr>
          <w:rFonts w:ascii="Arial" w:eastAsia="Times New Roman" w:hAnsi="Arial" w:cs="Arial"/>
          <w:b/>
          <w:bCs/>
          <w:color w:val="000000"/>
          <w:sz w:val="20"/>
          <w:szCs w:val="20"/>
          <w:lang w:eastAsia="en-IN"/>
        </w:rPr>
        <w:t>Antyodaya</w:t>
      </w:r>
      <w:proofErr w:type="spellEnd"/>
      <w:r w:rsidRPr="002774DE">
        <w:rPr>
          <w:rFonts w:ascii="Arial" w:eastAsia="Times New Roman" w:hAnsi="Arial" w:cs="Arial"/>
          <w:b/>
          <w:bCs/>
          <w:color w:val="000000"/>
          <w:sz w:val="20"/>
          <w:szCs w:val="20"/>
          <w:lang w:eastAsia="en-IN"/>
        </w:rPr>
        <w:t xml:space="preserve"> Yojana - National Rural Livelihoods Mission (DAY-NRLM)</w:t>
      </w:r>
    </w:p>
    <w:p w14:paraId="0A77154F"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the </w:t>
      </w:r>
      <w:hyperlink r:id="rId56" w:tgtFrame="_blank" w:history="1">
        <w:r w:rsidRPr="002774DE">
          <w:rPr>
            <w:rFonts w:ascii="Arial" w:eastAsia="Times New Roman" w:hAnsi="Arial" w:cs="Arial"/>
            <w:color w:val="0000FF"/>
            <w:sz w:val="20"/>
            <w:szCs w:val="20"/>
            <w:u w:val="single"/>
            <w:lang w:eastAsia="en-IN"/>
          </w:rPr>
          <w:t>Master Circular FIDD.GSSD.CO.BC.No.02/09.01.01/2019-20 dated July 01, 2019</w:t>
        </w:r>
      </w:hyperlink>
      <w:r w:rsidRPr="002774DE">
        <w:rPr>
          <w:rFonts w:ascii="Arial" w:eastAsia="Times New Roman" w:hAnsi="Arial" w:cs="Arial"/>
          <w:color w:val="000000"/>
          <w:sz w:val="20"/>
          <w:szCs w:val="20"/>
          <w:lang w:eastAsia="en-IN"/>
        </w:rPr>
        <w:t xml:space="preserve"> on Deendayal </w:t>
      </w:r>
      <w:proofErr w:type="spellStart"/>
      <w:r w:rsidRPr="002774DE">
        <w:rPr>
          <w:rFonts w:ascii="Arial" w:eastAsia="Times New Roman" w:hAnsi="Arial" w:cs="Arial"/>
          <w:color w:val="000000"/>
          <w:sz w:val="20"/>
          <w:szCs w:val="20"/>
          <w:lang w:eastAsia="en-IN"/>
        </w:rPr>
        <w:t>Antyodaya</w:t>
      </w:r>
      <w:proofErr w:type="spellEnd"/>
      <w:r w:rsidRPr="002774DE">
        <w:rPr>
          <w:rFonts w:ascii="Arial" w:eastAsia="Times New Roman" w:hAnsi="Arial" w:cs="Arial"/>
          <w:color w:val="000000"/>
          <w:sz w:val="20"/>
          <w:szCs w:val="20"/>
          <w:lang w:eastAsia="en-IN"/>
        </w:rPr>
        <w:t xml:space="preserve"> Yojana - National Rural Livelihoods Mission (DAY-NRLM).</w:t>
      </w:r>
    </w:p>
    <w:p w14:paraId="15792CFA"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The latest guidelines on Interest Subvention Scheme for the year 2019-20, as advised by Ministry of Rural Development (</w:t>
      </w:r>
      <w:proofErr w:type="spellStart"/>
      <w:r w:rsidRPr="002774DE">
        <w:rPr>
          <w:rFonts w:ascii="Arial" w:eastAsia="Times New Roman" w:hAnsi="Arial" w:cs="Arial"/>
          <w:color w:val="000000"/>
          <w:sz w:val="20"/>
          <w:szCs w:val="20"/>
          <w:lang w:eastAsia="en-IN"/>
        </w:rPr>
        <w:t>MoRD</w:t>
      </w:r>
      <w:proofErr w:type="spellEnd"/>
      <w:r w:rsidRPr="002774DE">
        <w:rPr>
          <w:rFonts w:ascii="Arial" w:eastAsia="Times New Roman" w:hAnsi="Arial" w:cs="Arial"/>
          <w:color w:val="000000"/>
          <w:sz w:val="20"/>
          <w:szCs w:val="20"/>
          <w:lang w:eastAsia="en-IN"/>
        </w:rPr>
        <w:t>), Government of India, have been incorporated in </w:t>
      </w:r>
      <w:hyperlink r:id="rId57" w:anchor="AN2" w:history="1">
        <w:r w:rsidRPr="002774DE">
          <w:rPr>
            <w:rFonts w:ascii="Arial" w:eastAsia="Times New Roman" w:hAnsi="Arial" w:cs="Arial"/>
            <w:color w:val="0000FF"/>
            <w:sz w:val="20"/>
            <w:szCs w:val="20"/>
            <w:u w:val="single"/>
            <w:lang w:eastAsia="en-IN"/>
          </w:rPr>
          <w:t>Annex-II</w:t>
        </w:r>
      </w:hyperlink>
      <w:r w:rsidRPr="002774DE">
        <w:rPr>
          <w:rFonts w:ascii="Arial" w:eastAsia="Times New Roman" w:hAnsi="Arial" w:cs="Arial"/>
          <w:color w:val="000000"/>
          <w:sz w:val="20"/>
          <w:szCs w:val="20"/>
          <w:lang w:eastAsia="en-IN"/>
        </w:rPr>
        <w:t> of this </w:t>
      </w:r>
      <w:hyperlink r:id="rId58" w:anchor="MC" w:history="1">
        <w:r w:rsidRPr="002774DE">
          <w:rPr>
            <w:rFonts w:ascii="Arial" w:eastAsia="Times New Roman" w:hAnsi="Arial" w:cs="Arial"/>
            <w:color w:val="0000FF"/>
            <w:sz w:val="20"/>
            <w:szCs w:val="20"/>
            <w:u w:val="single"/>
            <w:lang w:eastAsia="en-IN"/>
          </w:rPr>
          <w:t>Master Circular</w:t>
        </w:r>
      </w:hyperlink>
      <w:r w:rsidRPr="002774DE">
        <w:rPr>
          <w:rFonts w:ascii="Arial" w:eastAsia="Times New Roman" w:hAnsi="Arial" w:cs="Arial"/>
          <w:color w:val="000000"/>
          <w:sz w:val="20"/>
          <w:szCs w:val="20"/>
          <w:lang w:eastAsia="en-IN"/>
        </w:rPr>
        <w:t> for implementation.</w:t>
      </w:r>
    </w:p>
    <w:p w14:paraId="64BF2BEA" w14:textId="77777777" w:rsidR="00C30A10" w:rsidRPr="002774DE" w:rsidRDefault="00C30A10" w:rsidP="00C30A1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The Master Circular has been suitably updated by incorporating the instructions on DAY-NRLM issued up to November 26, 2019</w:t>
      </w:r>
    </w:p>
    <w:p w14:paraId="15049996" w14:textId="77777777" w:rsidR="00C30A10" w:rsidRDefault="003F25F1" w:rsidP="00C30A10">
      <w:hyperlink r:id="rId59" w:history="1">
        <w:r w:rsidR="00C30A10">
          <w:rPr>
            <w:rStyle w:val="Hyperlink"/>
          </w:rPr>
          <w:t>https://rbidocs.rbi.org.in/rdocs/notification/PDFs/NT105C9AB07919617490AA6CBC835EE89236C.PDF</w:t>
        </w:r>
      </w:hyperlink>
    </w:p>
    <w:p w14:paraId="6C84C058" w14:textId="77777777" w:rsidR="00C30A10" w:rsidRDefault="00C30A10" w:rsidP="00C30A10">
      <w:r>
        <w:t>----------------------------------</w:t>
      </w:r>
    </w:p>
    <w:p w14:paraId="2C052D3E" w14:textId="50B77452" w:rsidR="007B7539" w:rsidRPr="002516EE" w:rsidRDefault="007B7539"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RBI/2019-20/87</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DOR.RRB.No.21/31.01.001/2019-20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November 01, 2019</w:t>
      </w:r>
    </w:p>
    <w:p w14:paraId="5DA578F1" w14:textId="0EEF7195"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Chairmen</w:t>
      </w:r>
      <w:r w:rsidR="002516EE">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Regional Rural Banks</w:t>
      </w:r>
    </w:p>
    <w:p w14:paraId="797A3C57"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Issue of additional instruments for augmenting regulatory capital for RRBs</w:t>
      </w:r>
    </w:p>
    <w:p w14:paraId="6169DA74"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Capital adequacy norms were prescribed for Regional Rural Banks (RRBs) vide </w:t>
      </w:r>
      <w:hyperlink r:id="rId60" w:tgtFrame="_blank" w:history="1">
        <w:r w:rsidRPr="0074592F">
          <w:rPr>
            <w:rFonts w:ascii="Arial" w:eastAsia="Times New Roman" w:hAnsi="Arial" w:cs="Arial"/>
            <w:color w:val="0000FF"/>
            <w:sz w:val="20"/>
            <w:szCs w:val="20"/>
            <w:u w:val="single"/>
            <w:lang w:eastAsia="en-IN"/>
          </w:rPr>
          <w:t>circular RPCD.CO.RRB.BC.44/05.03.095/2007-08 dated December 28, 2007</w:t>
        </w:r>
      </w:hyperlink>
      <w:r w:rsidRPr="0074592F">
        <w:rPr>
          <w:rFonts w:ascii="Arial" w:eastAsia="Times New Roman" w:hAnsi="Arial" w:cs="Arial"/>
          <w:color w:val="000000"/>
          <w:sz w:val="20"/>
          <w:szCs w:val="20"/>
          <w:lang w:eastAsia="en-IN"/>
        </w:rPr>
        <w:t>, to compute capital to risk weighted assets (CRAR) and disclose it in 'Notes on Accounts' to their Balance Sheets. Further, the ‘risk weights for calculation of CRAR’ were revised, vide </w:t>
      </w:r>
      <w:hyperlink r:id="rId61" w:tgtFrame="_blank" w:history="1">
        <w:r w:rsidRPr="0074592F">
          <w:rPr>
            <w:rFonts w:ascii="Arial" w:eastAsia="Times New Roman" w:hAnsi="Arial" w:cs="Arial"/>
            <w:color w:val="0000FF"/>
            <w:sz w:val="20"/>
            <w:szCs w:val="20"/>
            <w:u w:val="single"/>
            <w:lang w:eastAsia="en-IN"/>
          </w:rPr>
          <w:t>circular RPCD.CO.RRB.BC.No.35/03.05.33/2014-15 dated October 21, 2014</w:t>
        </w:r>
      </w:hyperlink>
      <w:r w:rsidRPr="0074592F">
        <w:rPr>
          <w:rFonts w:ascii="Arial" w:eastAsia="Times New Roman" w:hAnsi="Arial" w:cs="Arial"/>
          <w:color w:val="000000"/>
          <w:sz w:val="20"/>
          <w:szCs w:val="20"/>
          <w:lang w:eastAsia="en-IN"/>
        </w:rPr>
        <w:t>. RRBs were also advised vide </w:t>
      </w:r>
      <w:hyperlink r:id="rId62" w:tgtFrame="_blank" w:history="1">
        <w:r w:rsidRPr="0074592F">
          <w:rPr>
            <w:rFonts w:ascii="Arial" w:eastAsia="Times New Roman" w:hAnsi="Arial" w:cs="Arial"/>
            <w:color w:val="0000FF"/>
            <w:sz w:val="20"/>
            <w:szCs w:val="20"/>
            <w:u w:val="single"/>
            <w:lang w:eastAsia="en-IN"/>
          </w:rPr>
          <w:t>circular RPCD.CO.RRB.BC.No.60/03.05.33/2013-14 dated November 26, 2013</w:t>
        </w:r>
      </w:hyperlink>
      <w:r w:rsidRPr="0074592F">
        <w:rPr>
          <w:rFonts w:ascii="Arial" w:eastAsia="Times New Roman" w:hAnsi="Arial" w:cs="Arial"/>
          <w:color w:val="000000"/>
          <w:sz w:val="20"/>
          <w:szCs w:val="20"/>
          <w:lang w:eastAsia="en-IN"/>
        </w:rPr>
        <w:t>, to achieve and maintain a minimum CRAR of 9 per cent on an ongoing basis with effect from March 31, 2014.</w:t>
      </w:r>
    </w:p>
    <w:p w14:paraId="34EE6FEE"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With a view to providing RRBs additional options for augmenting regulatory capital funds, so as to maintain the minimum prescribed CRAR, besides meeting the increasing business requirements, it has been decided to allow RRBs to issue Perpetual Debt Instruments (PDIs) eligible for inclusion as Tier 1 capital.</w:t>
      </w:r>
    </w:p>
    <w:p w14:paraId="3A48C47E"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terms and conditions for issue of Perpetual Debt Instruments (PDIs) are given in the </w:t>
      </w:r>
      <w:hyperlink r:id="rId63" w:anchor="A_1" w:history="1">
        <w:r w:rsidRPr="0074592F">
          <w:rPr>
            <w:rFonts w:ascii="Arial" w:eastAsia="Times New Roman" w:hAnsi="Arial" w:cs="Arial"/>
            <w:color w:val="0000FF"/>
            <w:sz w:val="20"/>
            <w:szCs w:val="20"/>
            <w:u w:val="single"/>
            <w:lang w:eastAsia="en-IN"/>
          </w:rPr>
          <w:t>Annex</w:t>
        </w:r>
      </w:hyperlink>
      <w:r w:rsidRPr="0074592F">
        <w:rPr>
          <w:rFonts w:ascii="Arial" w:eastAsia="Times New Roman" w:hAnsi="Arial" w:cs="Arial"/>
          <w:color w:val="000000"/>
          <w:sz w:val="20"/>
          <w:szCs w:val="20"/>
          <w:lang w:eastAsia="en-IN"/>
        </w:rPr>
        <w:t>.</w:t>
      </w:r>
    </w:p>
    <w:p w14:paraId="14A6F71C"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lastRenderedPageBreak/>
        <w:t>3. Capital Funds</w:t>
      </w:r>
    </w:p>
    <w:p w14:paraId="64629EC6"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required to maintain a minimum Capital to Risk-weighted Assets Ratio (CRAR) of 9 per cent on an ongoing basis. The capital funds for capital adequacy purpose shall consist of both Tier 1 and Tier 2 capital.</w:t>
      </w:r>
    </w:p>
    <w:p w14:paraId="3671F536"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 Tier 1 Capital</w:t>
      </w:r>
    </w:p>
    <w:p w14:paraId="4CD8E5F1"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b/>
          <w:bCs/>
          <w:color w:val="000000"/>
          <w:sz w:val="20"/>
          <w:szCs w:val="20"/>
          <w:lang w:eastAsia="en-IN"/>
        </w:rPr>
        <w:t>3.1.1 Common Equity (CET 1) Capital:</w:t>
      </w:r>
      <w:r w:rsidRPr="0074592F">
        <w:rPr>
          <w:rFonts w:ascii="Arial" w:eastAsia="Times New Roman" w:hAnsi="Arial" w:cs="Arial"/>
          <w:color w:val="000000"/>
          <w:sz w:val="20"/>
          <w:szCs w:val="20"/>
          <w:lang w:eastAsia="en-IN"/>
        </w:rPr>
        <w:t> The elements of Common Equity Capital are,</w:t>
      </w:r>
    </w:p>
    <w:p w14:paraId="37FA39C6"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Paid up share capital</w:t>
      </w:r>
    </w:p>
    <w:p w14:paraId="15873800"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Share capital deposit</w:t>
      </w:r>
    </w:p>
    <w:p w14:paraId="7F7C0E05"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Statutory and other disclosed free reserves</w:t>
      </w:r>
    </w:p>
    <w:p w14:paraId="5532D498"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 Capital Reserve representing surplus arising out of sale proceeds of assets.</w:t>
      </w:r>
    </w:p>
    <w:p w14:paraId="1A12B1F3"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e) Any surplus (net) in profit and loss account i.e. balance after appropriation</w:t>
      </w:r>
    </w:p>
    <w:p w14:paraId="5A416BE0"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3.1.2 Additional Tier 1 Capital</w:t>
      </w:r>
    </w:p>
    <w:p w14:paraId="1AD45DD9"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f) Perpetual Debt Instruments</w:t>
      </w:r>
    </w:p>
    <w:p w14:paraId="60210FC4"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3.1.3. Limits on Tier 1 capital</w:t>
      </w:r>
    </w:p>
    <w:p w14:paraId="6F66CC69" w14:textId="77777777" w:rsidR="007B7539" w:rsidRPr="0074592F" w:rsidRDefault="007B7539" w:rsidP="007B7539">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total Tier 1 capital should not be less than 7 per cent of risk weighted assets after the regulatory adjustment / deduction as per paragraph 3.1.4 and 3.1.5 below.</w:t>
      </w:r>
    </w:p>
    <w:p w14:paraId="55BCBBCC" w14:textId="77777777" w:rsidR="007B7539" w:rsidRPr="0074592F" w:rsidRDefault="007B7539" w:rsidP="007B7539">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Of the minimum Tier 1 capital of 7 percent, the Perpetual Debt Instruments will be limited to 1.5 per cent of the total risk weighted assets.</w:t>
      </w:r>
    </w:p>
    <w:p w14:paraId="447D716D" w14:textId="77777777" w:rsidR="007B7539" w:rsidRPr="0074592F" w:rsidRDefault="007B7539" w:rsidP="007B7539">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Any additional amount raised through Perpetual Debt Instruments over and above the 1.5 per cent of the risk weighted assets will also be reckoned as Tier 1 capital provided the bank complies with the minimum Tier 1 capital of 7 percent of risk weighted assets before reckoning such additional amounts.</w:t>
      </w:r>
    </w:p>
    <w:p w14:paraId="1B754727"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3.1.4 Deductions from Tier 1 Capital</w:t>
      </w:r>
    </w:p>
    <w:p w14:paraId="7D3773DD"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amount of intangible assets, losses in current year and those brought forward from previous years, deficit in NPA provisions, income wrongly recognized on non-performing assets, provision required for liability devolved on bank etc., shall be deducted from Tier 1 capital.</w:t>
      </w:r>
    </w:p>
    <w:p w14:paraId="5364D72D"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3.1.5 Treatment of deferred tax assets (DTAs)</w:t>
      </w:r>
    </w:p>
    <w:p w14:paraId="5E9FB6C8"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xml:space="preserve">) Deferred tax assets (DTAs) associated with accumulated losses and other such assets should be deducted in </w:t>
      </w:r>
      <w:proofErr w:type="gramStart"/>
      <w:r w:rsidRPr="0074592F">
        <w:rPr>
          <w:rFonts w:ascii="Arial" w:eastAsia="Times New Roman" w:hAnsi="Arial" w:cs="Arial"/>
          <w:color w:val="000000"/>
          <w:sz w:val="20"/>
          <w:szCs w:val="20"/>
          <w:lang w:eastAsia="en-IN"/>
        </w:rPr>
        <w:t>full from</w:t>
      </w:r>
      <w:proofErr w:type="gramEnd"/>
      <w:r w:rsidRPr="0074592F">
        <w:rPr>
          <w:rFonts w:ascii="Arial" w:eastAsia="Times New Roman" w:hAnsi="Arial" w:cs="Arial"/>
          <w:color w:val="000000"/>
          <w:sz w:val="20"/>
          <w:szCs w:val="20"/>
          <w:lang w:eastAsia="en-IN"/>
        </w:rPr>
        <w:t xml:space="preserve"> CET1 capital.</w:t>
      </w:r>
    </w:p>
    <w:p w14:paraId="303403E7"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 DTAs which relate to timing differences (other than those related to accumulated losses) may, instead of full deduction from CET1 capital, be recognized in the CET1 capital up to 10% of a bank's CET1 capital [after the application of all regulatory adjustments].</w:t>
      </w:r>
    </w:p>
    <w:p w14:paraId="56868850"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iii) The amount of DTAs which are to be deducted from CET1 capital may be netted with associated deferred tax liabilities (DTLs) provided:</w:t>
      </w:r>
    </w:p>
    <w:p w14:paraId="02284546" w14:textId="77777777" w:rsidR="007B7539" w:rsidRPr="0074592F" w:rsidRDefault="007B7539" w:rsidP="007B7539">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Both the DTAs and DTLs relate to taxes levied by the same taxation authority and offsetting is permitted by the relevant taxation authority;</w:t>
      </w:r>
    </w:p>
    <w:p w14:paraId="5DF64A98" w14:textId="77777777" w:rsidR="007B7539" w:rsidRPr="0074592F" w:rsidRDefault="007B7539" w:rsidP="007B7539">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DTLs permitted to be netted against DTAs must exclude amounts that have been netted against the deduction of goodwill, intangibles and defined benefit pension assets; and</w:t>
      </w:r>
    </w:p>
    <w:p w14:paraId="4C98A3F4" w14:textId="77777777" w:rsidR="007B7539" w:rsidRPr="0074592F" w:rsidRDefault="007B7539" w:rsidP="007B7539">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lastRenderedPageBreak/>
        <w:t>The DTLs must be allocated on a pro rata basis between DTAs subject to deduction from CET1 capital as at (</w:t>
      </w:r>
      <w:proofErr w:type="spellStart"/>
      <w:r w:rsidRPr="0074592F">
        <w:rPr>
          <w:rFonts w:ascii="Arial" w:eastAsia="Times New Roman" w:hAnsi="Arial" w:cs="Arial"/>
          <w:color w:val="000000"/>
          <w:sz w:val="20"/>
          <w:szCs w:val="20"/>
          <w:lang w:eastAsia="en-IN"/>
        </w:rPr>
        <w:t>i</w:t>
      </w:r>
      <w:proofErr w:type="spellEnd"/>
      <w:r w:rsidRPr="0074592F">
        <w:rPr>
          <w:rFonts w:ascii="Arial" w:eastAsia="Times New Roman" w:hAnsi="Arial" w:cs="Arial"/>
          <w:color w:val="000000"/>
          <w:sz w:val="20"/>
          <w:szCs w:val="20"/>
          <w:lang w:eastAsia="en-IN"/>
        </w:rPr>
        <w:t>) and (ii) above.</w:t>
      </w:r>
    </w:p>
    <w:p w14:paraId="16D6A65A"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4. Other Conditions</w:t>
      </w:r>
    </w:p>
    <w:p w14:paraId="43B894F3" w14:textId="77777777" w:rsidR="007B7539" w:rsidRPr="0074592F" w:rsidRDefault="007B7539" w:rsidP="007B7539">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not permitted to issue Perpetual Debt Instruments to retail investors / FPIs / NRIs.</w:t>
      </w:r>
    </w:p>
    <w:p w14:paraId="1B370858" w14:textId="77777777" w:rsidR="007B7539" w:rsidRPr="0074592F" w:rsidRDefault="007B7539" w:rsidP="007B7539">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are not permitted to invest in the Perpetual Debt Instruments of other banks including RRBs.</w:t>
      </w:r>
    </w:p>
    <w:p w14:paraId="2947D82F" w14:textId="77777777" w:rsidR="007B7539" w:rsidRPr="0074592F" w:rsidRDefault="007B7539" w:rsidP="007B7539">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RRBs shall issue the Perpetual Debt Instruments in Indian currency only.</w:t>
      </w:r>
    </w:p>
    <w:p w14:paraId="443D501A"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other instructions in the circulars cited above remain unchanged.</w:t>
      </w:r>
    </w:p>
    <w:p w14:paraId="7F36C4CA" w14:textId="77777777" w:rsidR="007B7539" w:rsidRDefault="003F25F1" w:rsidP="007B7539">
      <w:hyperlink r:id="rId64" w:history="1">
        <w:r w:rsidR="007B7539">
          <w:rPr>
            <w:rStyle w:val="Hyperlink"/>
          </w:rPr>
          <w:t>https://rbidocs.rbi.org.in/rdocs/notification/PDFs/NT87F0659C1C3DE14BADB0A1173AFE820478.PDF</w:t>
        </w:r>
      </w:hyperlink>
    </w:p>
    <w:p w14:paraId="7328874B" w14:textId="77777777" w:rsidR="007B7539" w:rsidRDefault="007B7539" w:rsidP="007B7539">
      <w:r>
        <w:t>----------------------------</w:t>
      </w:r>
    </w:p>
    <w:p w14:paraId="2BB3D45D" w14:textId="75A12A8B" w:rsidR="007B7539" w:rsidRPr="002516EE" w:rsidRDefault="007B7539"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RBI/2019-20/128</w:t>
      </w:r>
      <w:r w:rsidR="002516EE" w:rsidRPr="002516EE">
        <w:rPr>
          <w:rFonts w:ascii="Arial" w:eastAsia="Times New Roman" w:hAnsi="Arial" w:cs="Arial"/>
          <w:b/>
          <w:bCs/>
          <w:color w:val="000000"/>
          <w:sz w:val="20"/>
          <w:szCs w:val="20"/>
          <w:lang w:eastAsia="en-IN"/>
        </w:rPr>
        <w:t xml:space="preserve"> </w:t>
      </w:r>
      <w:proofErr w:type="spellStart"/>
      <w:r w:rsidRPr="002516EE">
        <w:rPr>
          <w:rFonts w:ascii="Arial" w:eastAsia="Times New Roman" w:hAnsi="Arial" w:cs="Arial"/>
          <w:b/>
          <w:bCs/>
          <w:color w:val="000000"/>
          <w:sz w:val="20"/>
          <w:szCs w:val="20"/>
          <w:lang w:eastAsia="en-IN"/>
        </w:rPr>
        <w:t>DoR</w:t>
      </w:r>
      <w:proofErr w:type="spellEnd"/>
      <w:r w:rsidRPr="002516EE">
        <w:rPr>
          <w:rFonts w:ascii="Arial" w:eastAsia="Times New Roman" w:hAnsi="Arial" w:cs="Arial"/>
          <w:b/>
          <w:bCs/>
          <w:color w:val="000000"/>
          <w:sz w:val="20"/>
          <w:szCs w:val="20"/>
          <w:lang w:eastAsia="en-IN"/>
        </w:rPr>
        <w:t xml:space="preserve"> (PCB).BPD.Cir.No.8/12.05.002/2019-20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December 31, 2019</w:t>
      </w:r>
    </w:p>
    <w:p w14:paraId="2CE6CADA" w14:textId="28D4AA05"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The Chief Executive Officers of</w:t>
      </w:r>
      <w:r w:rsidR="002516EE">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Primary (Urban) Co-operative Banks</w:t>
      </w:r>
    </w:p>
    <w:p w14:paraId="170DD18C"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Constitution of Board of Management (BoM) in Primary (Urban) Co-operative Banks (UCBs)</w:t>
      </w:r>
    </w:p>
    <w:p w14:paraId="082CA83A"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Reserve Bank of India had released </w:t>
      </w:r>
      <w:hyperlink r:id="rId65" w:tgtFrame="_blank" w:history="1">
        <w:r w:rsidRPr="0074592F">
          <w:rPr>
            <w:rFonts w:ascii="Arial" w:eastAsia="Times New Roman" w:hAnsi="Arial" w:cs="Arial"/>
            <w:color w:val="0000FF"/>
            <w:sz w:val="20"/>
            <w:szCs w:val="20"/>
            <w:u w:val="single"/>
            <w:lang w:eastAsia="en-IN"/>
          </w:rPr>
          <w:t>draft guidelines</w:t>
        </w:r>
      </w:hyperlink>
      <w:r w:rsidRPr="0074592F">
        <w:rPr>
          <w:rFonts w:ascii="Arial" w:eastAsia="Times New Roman" w:hAnsi="Arial" w:cs="Arial"/>
          <w:color w:val="000000"/>
          <w:sz w:val="20"/>
          <w:szCs w:val="20"/>
          <w:lang w:eastAsia="en-IN"/>
        </w:rPr>
        <w:t> on constituting BoM in UCBs on June 25, 2018 inviting comments from banks and other stakeholders. Taking into consideration the responses received, it has been decided to issue the guidelines on BoM as per </w:t>
      </w:r>
      <w:hyperlink r:id="rId66" w:anchor="AN1" w:history="1">
        <w:r w:rsidRPr="0074592F">
          <w:rPr>
            <w:rFonts w:ascii="Arial" w:eastAsia="Times New Roman" w:hAnsi="Arial" w:cs="Arial"/>
            <w:color w:val="0000FF"/>
            <w:sz w:val="20"/>
            <w:szCs w:val="20"/>
            <w:u w:val="single"/>
            <w:lang w:eastAsia="en-IN"/>
          </w:rPr>
          <w:t>Annex I</w:t>
        </w:r>
      </w:hyperlink>
      <w:r w:rsidRPr="0074592F">
        <w:rPr>
          <w:rFonts w:ascii="Arial" w:eastAsia="Times New Roman" w:hAnsi="Arial" w:cs="Arial"/>
          <w:color w:val="000000"/>
          <w:sz w:val="20"/>
          <w:szCs w:val="20"/>
          <w:lang w:eastAsia="en-IN"/>
        </w:rPr>
        <w:t>.</w:t>
      </w:r>
    </w:p>
    <w:p w14:paraId="343E6DAC"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UCBs shall constitute a BoM by making suitable amendments in their bye-laws. The BoM shall comprise of persons with special knowledge and practical experience in banking to facilitate professional management and focused attention to the banking related activities of the UCBs through appropriate amendments to their bye-laws, in accordance with the enclosed guidelines following the due process. While constituting the BoM, the Board of Directors (</w:t>
      </w:r>
      <w:proofErr w:type="spellStart"/>
      <w:r w:rsidRPr="0074592F">
        <w:rPr>
          <w:rFonts w:ascii="Arial" w:eastAsia="Times New Roman" w:hAnsi="Arial" w:cs="Arial"/>
          <w:color w:val="000000"/>
          <w:sz w:val="20"/>
          <w:szCs w:val="20"/>
          <w:lang w:eastAsia="en-IN"/>
        </w:rPr>
        <w:t>BoD</w:t>
      </w:r>
      <w:proofErr w:type="spellEnd"/>
      <w:r w:rsidRPr="0074592F">
        <w:rPr>
          <w:rFonts w:ascii="Arial" w:eastAsia="Times New Roman" w:hAnsi="Arial" w:cs="Arial"/>
          <w:color w:val="000000"/>
          <w:sz w:val="20"/>
          <w:szCs w:val="20"/>
          <w:lang w:eastAsia="en-IN"/>
        </w:rPr>
        <w:t>) of UCB shall carry out a process of due diligence to determine the suitability of the person for appointment as the member of the BoM, based upon qualification, expertise, track record, integrity and other ‘fit and proper’ criteria as set out in </w:t>
      </w:r>
      <w:hyperlink r:id="rId67" w:tgtFrame="_blank" w:history="1">
        <w:r w:rsidRPr="0074592F">
          <w:rPr>
            <w:rFonts w:ascii="Arial" w:eastAsia="Times New Roman" w:hAnsi="Arial" w:cs="Arial"/>
            <w:color w:val="0000FF"/>
            <w:sz w:val="20"/>
            <w:szCs w:val="20"/>
            <w:u w:val="single"/>
            <w:lang w:eastAsia="en-IN"/>
          </w:rPr>
          <w:t>Appendix I</w:t>
        </w:r>
      </w:hyperlink>
      <w:r w:rsidRPr="0074592F">
        <w:rPr>
          <w:rFonts w:ascii="Arial" w:eastAsia="Times New Roman" w:hAnsi="Arial" w:cs="Arial"/>
          <w:color w:val="000000"/>
          <w:sz w:val="20"/>
          <w:szCs w:val="20"/>
          <w:lang w:eastAsia="en-IN"/>
        </w:rPr>
        <w:t>. Similar process of due diligence shall be carried out for determining the suitability of a candidate for appointment as CEO. For this purpose, banks shall obtain declaration-cum-undertaking from the proposed member of BoM/CEO in the format enclosed to the guidelines in </w:t>
      </w:r>
      <w:hyperlink r:id="rId68" w:tgtFrame="_blank" w:history="1">
        <w:r w:rsidRPr="0074592F">
          <w:rPr>
            <w:rFonts w:ascii="Arial" w:eastAsia="Times New Roman" w:hAnsi="Arial" w:cs="Arial"/>
            <w:color w:val="0000FF"/>
            <w:sz w:val="20"/>
            <w:szCs w:val="20"/>
            <w:u w:val="single"/>
            <w:lang w:eastAsia="en-IN"/>
          </w:rPr>
          <w:t>Appendix II</w:t>
        </w:r>
      </w:hyperlink>
      <w:r w:rsidRPr="0074592F">
        <w:rPr>
          <w:rFonts w:ascii="Arial" w:eastAsia="Times New Roman" w:hAnsi="Arial" w:cs="Arial"/>
          <w:color w:val="000000"/>
          <w:sz w:val="20"/>
          <w:szCs w:val="20"/>
          <w:lang w:eastAsia="en-IN"/>
        </w:rPr>
        <w:t>. The process of due diligence shall also be undertaken at the time of renewal of appointment.</w:t>
      </w:r>
    </w:p>
    <w:p w14:paraId="5A022697"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UCBs with deposit size of ₹100 crore and above shall constitute BoM which will also be a mandatory requirement for allowing such banks to expand their area of operation and open new branches. UCBs with a deposit size less than ₹100 crore and Salary Earners’ Banks are exempted from constituting BoM. However, for having good governance practices, such banks may also constitute BoM, if they so desire.</w:t>
      </w:r>
    </w:p>
    <w:p w14:paraId="1F8F5728"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4. Further, as per the guidelines, UCBs having deposit size of ₹100 crore and above shall obtain prior approval of Reserve Bank for appointment of CEO. In this connection, it is advised that Scheduled UCBs shall approach the Department of Regulation of Reserve Bank for approval at least three months prior to the end of tenure of the incumbent CEO. The banks shall submit the proposal for appointment of CEO along with the declaration-cum -undertaking of the CEO designate as per </w:t>
      </w:r>
      <w:hyperlink r:id="rId69" w:tgtFrame="_blank" w:history="1">
        <w:r w:rsidRPr="0074592F">
          <w:rPr>
            <w:rFonts w:ascii="Arial" w:eastAsia="Times New Roman" w:hAnsi="Arial" w:cs="Arial"/>
            <w:color w:val="0000FF"/>
            <w:sz w:val="20"/>
            <w:szCs w:val="20"/>
            <w:u w:val="single"/>
            <w:lang w:eastAsia="en-IN"/>
          </w:rPr>
          <w:t>Appendix II</w:t>
        </w:r>
      </w:hyperlink>
      <w:r w:rsidRPr="0074592F">
        <w:rPr>
          <w:rFonts w:ascii="Arial" w:eastAsia="Times New Roman" w:hAnsi="Arial" w:cs="Arial"/>
          <w:color w:val="000000"/>
          <w:sz w:val="20"/>
          <w:szCs w:val="20"/>
          <w:lang w:eastAsia="en-IN"/>
        </w:rPr>
        <w:t> of these guidelines along with the list of supporting documents as given in </w:t>
      </w:r>
      <w:hyperlink r:id="rId70" w:anchor="AN2" w:history="1">
        <w:r w:rsidRPr="0074592F">
          <w:rPr>
            <w:rFonts w:ascii="Arial" w:eastAsia="Times New Roman" w:hAnsi="Arial" w:cs="Arial"/>
            <w:color w:val="0000FF"/>
            <w:sz w:val="20"/>
            <w:szCs w:val="20"/>
            <w:u w:val="single"/>
            <w:lang w:eastAsia="en-IN"/>
          </w:rPr>
          <w:t>Annex II</w:t>
        </w:r>
      </w:hyperlink>
      <w:r w:rsidRPr="0074592F">
        <w:rPr>
          <w:rFonts w:ascii="Arial" w:eastAsia="Times New Roman" w:hAnsi="Arial" w:cs="Arial"/>
          <w:color w:val="000000"/>
          <w:sz w:val="20"/>
          <w:szCs w:val="20"/>
          <w:lang w:eastAsia="en-IN"/>
        </w:rPr>
        <w:t>. Non-Scheduled UCBs shall approach the concerned Regional Office of the Department of Supervision for the requisite approval in the similar manner mentioned above. Reserve Bank reserves the right to seek additional information/documents, if deemed necessary.</w:t>
      </w:r>
    </w:p>
    <w:p w14:paraId="590F6D60" w14:textId="77777777" w:rsidR="007B7539" w:rsidRPr="0074592F"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5. A copy of the amended bye-laws providing for constitution of BoM shall be forwarded to the concerned Regional Office of the Department of Supervision for information and record along with details of the members of BoM immediately after constitution of BoM. UCBs shall also be required to </w:t>
      </w:r>
      <w:r w:rsidRPr="0074592F">
        <w:rPr>
          <w:rFonts w:ascii="Arial" w:eastAsia="Times New Roman" w:hAnsi="Arial" w:cs="Arial"/>
          <w:color w:val="000000"/>
          <w:sz w:val="20"/>
          <w:szCs w:val="20"/>
          <w:lang w:eastAsia="en-IN"/>
        </w:rPr>
        <w:lastRenderedPageBreak/>
        <w:t>submit an annual return furnishing details of the members of the BoM as per the format given in </w:t>
      </w:r>
      <w:hyperlink r:id="rId71" w:anchor="AN3" w:history="1">
        <w:r w:rsidRPr="0074592F">
          <w:rPr>
            <w:rFonts w:ascii="Arial" w:eastAsia="Times New Roman" w:hAnsi="Arial" w:cs="Arial"/>
            <w:color w:val="0000FF"/>
            <w:sz w:val="20"/>
            <w:szCs w:val="20"/>
            <w:u w:val="single"/>
            <w:lang w:eastAsia="en-IN"/>
          </w:rPr>
          <w:t>Annex III</w:t>
        </w:r>
      </w:hyperlink>
      <w:r w:rsidRPr="0074592F">
        <w:rPr>
          <w:rFonts w:ascii="Arial" w:eastAsia="Times New Roman" w:hAnsi="Arial" w:cs="Arial"/>
          <w:color w:val="000000"/>
          <w:sz w:val="20"/>
          <w:szCs w:val="20"/>
          <w:lang w:eastAsia="en-IN"/>
        </w:rPr>
        <w:t> as on December 31 each year, within 15 days of the end of the period to the respective Regional Offices of the Reserve Bank of India.</w:t>
      </w:r>
    </w:p>
    <w:p w14:paraId="3FE3DF88" w14:textId="77777777" w:rsidR="007B7539" w:rsidRDefault="003F25F1" w:rsidP="007B7539">
      <w:hyperlink r:id="rId72" w:history="1">
        <w:r w:rsidR="007B7539">
          <w:rPr>
            <w:rStyle w:val="Hyperlink"/>
          </w:rPr>
          <w:t>https://rbidocs.rbi.org.in/rdocs/notification/PDFs/NOTI128B7ED793D4C334C00951D180DBD96F082.PDF</w:t>
        </w:r>
      </w:hyperlink>
    </w:p>
    <w:p w14:paraId="24032E36" w14:textId="77777777" w:rsidR="007B7539" w:rsidRDefault="007B7539" w:rsidP="007B7539">
      <w:r>
        <w:t>----------------------------</w:t>
      </w:r>
    </w:p>
    <w:p w14:paraId="7E796ABC" w14:textId="33B3B632" w:rsidR="007B7539" w:rsidRPr="002516EE" w:rsidRDefault="007B7539"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RBI/2019-20/129</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DoS.CO/CSITE/BC.4083/31.01.052/2019-20</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December 31, 2019</w:t>
      </w:r>
    </w:p>
    <w:p w14:paraId="19F17052" w14:textId="06FE6A45" w:rsidR="007B7539" w:rsidRPr="009337A5" w:rsidRDefault="007B7539" w:rsidP="007B7539">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Chairman/Managing Director/Chief Executive Officer</w:t>
      </w:r>
      <w:r w:rsidR="002516EE">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All Primary (Urban) Co-operative Banks</w:t>
      </w:r>
    </w:p>
    <w:p w14:paraId="56A67F20"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Comprehensive Cyber Security Framework for Primary (Urban) Cooperative Banks (UCBs) – A Graded Approach</w:t>
      </w:r>
    </w:p>
    <w:p w14:paraId="4C67CC6F"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para I (3) of the Statement on Developmental and Regulatory policies of the Fifth Bi-monthly Monetary Policy Statement for 2019-20 dated December 5, 2019 (</w:t>
      </w:r>
      <w:hyperlink r:id="rId73" w:anchor="SDP_1" w:history="1">
        <w:r w:rsidRPr="009337A5">
          <w:rPr>
            <w:rFonts w:ascii="Arial" w:eastAsia="Times New Roman" w:hAnsi="Arial" w:cs="Arial"/>
            <w:color w:val="0000FF"/>
            <w:sz w:val="20"/>
            <w:szCs w:val="20"/>
            <w:u w:val="single"/>
            <w:lang w:eastAsia="en-IN"/>
          </w:rPr>
          <w:t>extract enclosed</w:t>
        </w:r>
      </w:hyperlink>
      <w:r w:rsidRPr="009337A5">
        <w:rPr>
          <w:rFonts w:ascii="Arial" w:eastAsia="Times New Roman" w:hAnsi="Arial" w:cs="Arial"/>
          <w:color w:val="000000"/>
          <w:sz w:val="20"/>
          <w:szCs w:val="20"/>
          <w:lang w:eastAsia="en-IN"/>
        </w:rPr>
        <w:t>).</w:t>
      </w:r>
    </w:p>
    <w:p w14:paraId="451AA80C"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Please refer to our </w:t>
      </w:r>
      <w:hyperlink r:id="rId74" w:tgtFrame="_blank" w:history="1">
        <w:r w:rsidRPr="009337A5">
          <w:rPr>
            <w:rFonts w:ascii="Arial" w:eastAsia="Times New Roman" w:hAnsi="Arial" w:cs="Arial"/>
            <w:color w:val="0000FF"/>
            <w:sz w:val="20"/>
            <w:szCs w:val="20"/>
            <w:u w:val="single"/>
            <w:lang w:eastAsia="en-IN"/>
          </w:rPr>
          <w:t>Circular DCBS.CO.PCB.Cir.No.1/18.01.000/2018-19 dated October 19, 2018</w:t>
        </w:r>
      </w:hyperlink>
      <w:r w:rsidRPr="009337A5">
        <w:rPr>
          <w:rFonts w:ascii="Arial" w:eastAsia="Times New Roman" w:hAnsi="Arial" w:cs="Arial"/>
          <w:color w:val="000000"/>
          <w:sz w:val="20"/>
          <w:szCs w:val="20"/>
          <w:lang w:eastAsia="en-IN"/>
        </w:rPr>
        <w:t> wherein some basic cyber security controls for Primary (Urban) Cooperative Banks (UCBs) were prescribed. On further examination, a comprehensive Cyber Security Framework for UCBs has been formulated based on a graded approach. The UCBs have been categorised into four levels based on their digital depth and interconnectedness to the payment systems landscape. The levels are defined as below:</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02"/>
        <w:gridCol w:w="2824"/>
        <w:gridCol w:w="2567"/>
        <w:gridCol w:w="2567"/>
      </w:tblGrid>
      <w:tr w:rsidR="007B7539" w:rsidRPr="009337A5" w14:paraId="69F5140D" w14:textId="77777777" w:rsidTr="002B7054">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AADB984"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5B2B8AB"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Criteria</w:t>
            </w:r>
          </w:p>
        </w:tc>
        <w:tc>
          <w:tcPr>
            <w:tcW w:w="1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4636F69"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Regulatory Prescription</w:t>
            </w:r>
          </w:p>
        </w:tc>
        <w:tc>
          <w:tcPr>
            <w:tcW w:w="1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B5C937"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Remarks</w:t>
            </w:r>
          </w:p>
        </w:tc>
      </w:tr>
      <w:tr w:rsidR="007B7539" w:rsidRPr="009337A5" w14:paraId="48714784"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A0F2517" w14:textId="77777777" w:rsidR="007B7539" w:rsidRPr="009337A5" w:rsidRDefault="007B7539" w:rsidP="002B7054">
            <w:pPr>
              <w:spacing w:after="0"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 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0ED28D"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DB033F9"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Level I controls prescribed in </w:t>
            </w:r>
            <w:hyperlink r:id="rId75" w:anchor="AN_1" w:history="1">
              <w:r w:rsidRPr="009337A5">
                <w:rPr>
                  <w:rFonts w:ascii="Arial" w:eastAsia="Times New Roman" w:hAnsi="Arial" w:cs="Arial"/>
                  <w:color w:val="0000FF"/>
                  <w:sz w:val="20"/>
                  <w:szCs w:val="20"/>
                  <w:u w:val="single"/>
                  <w:lang w:eastAsia="en-IN"/>
                </w:rPr>
                <w:t>Annex I</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BC6E5F8"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In addition to the controls prescribed to the UCBs vide circular dated October 19, 2018, bank specific email domain with DMARC controls, two factor authentication for CBS etc., are salient controls prescribed.</w:t>
            </w:r>
          </w:p>
        </w:tc>
      </w:tr>
      <w:tr w:rsidR="007B7539" w:rsidRPr="009337A5" w14:paraId="3F0C0185"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CD16680" w14:textId="77777777" w:rsidR="007B7539" w:rsidRPr="009337A5" w:rsidRDefault="007B7539" w:rsidP="002B7054">
            <w:pPr>
              <w:spacing w:after="0"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 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8560448"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UCBs, which are sub-members of Centralised Payment Systems</w:t>
            </w:r>
            <w:hyperlink r:id="rId76" w:anchor="F1" w:history="1">
              <w:r w:rsidRPr="009337A5">
                <w:rPr>
                  <w:rFonts w:ascii="Arial" w:eastAsia="Times New Roman" w:hAnsi="Arial" w:cs="Arial"/>
                  <w:color w:val="0000FF"/>
                  <w:sz w:val="15"/>
                  <w:szCs w:val="15"/>
                  <w:u w:val="single"/>
                  <w:vertAlign w:val="superscript"/>
                  <w:lang w:eastAsia="en-IN"/>
                </w:rPr>
                <w:t>1</w:t>
              </w:r>
            </w:hyperlink>
            <w:r w:rsidRPr="009337A5">
              <w:rPr>
                <w:rFonts w:ascii="Arial" w:eastAsia="Times New Roman" w:hAnsi="Arial" w:cs="Arial"/>
                <w:color w:val="000000"/>
                <w:sz w:val="20"/>
                <w:szCs w:val="20"/>
                <w:lang w:eastAsia="en-IN"/>
              </w:rPr>
              <w:t> (CPS) and satisfying at least one of the criteria given below:</w:t>
            </w:r>
          </w:p>
          <w:p w14:paraId="26EF1872" w14:textId="77777777" w:rsidR="007B7539" w:rsidRPr="009337A5" w:rsidRDefault="007B7539" w:rsidP="007B7539">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offers internet banking facility to its customers (either view or transaction based)</w:t>
            </w:r>
          </w:p>
          <w:p w14:paraId="3D89A288" w14:textId="77777777" w:rsidR="007B7539" w:rsidRPr="009337A5" w:rsidRDefault="007B7539" w:rsidP="007B7539">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provides Mobile Banking facility through application (Smart phone usage)</w:t>
            </w:r>
          </w:p>
          <w:p w14:paraId="642D226E" w14:textId="77777777" w:rsidR="007B7539" w:rsidRPr="009337A5" w:rsidRDefault="007B7539" w:rsidP="007B7539">
            <w:pPr>
              <w:numPr>
                <w:ilvl w:val="0"/>
                <w:numId w:val="11"/>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is a direct Member of CTS/IMPS/</w:t>
            </w:r>
            <w:proofErr w:type="gramStart"/>
            <w:r w:rsidRPr="009337A5">
              <w:rPr>
                <w:rFonts w:ascii="Arial" w:eastAsia="Times New Roman" w:hAnsi="Arial" w:cs="Arial"/>
                <w:color w:val="000000"/>
                <w:sz w:val="20"/>
                <w:szCs w:val="20"/>
                <w:lang w:eastAsia="en-IN"/>
              </w:rPr>
              <w:t>UPI.</w:t>
            </w:r>
            <w:proofErr w:type="gramEnd"/>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8ECCCC"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Level II controls given in </w:t>
            </w:r>
            <w:hyperlink r:id="rId77" w:anchor="AN_2" w:history="1">
              <w:r w:rsidRPr="009337A5">
                <w:rPr>
                  <w:rFonts w:ascii="Arial" w:eastAsia="Times New Roman" w:hAnsi="Arial" w:cs="Arial"/>
                  <w:color w:val="0000FF"/>
                  <w:sz w:val="20"/>
                  <w:szCs w:val="20"/>
                  <w:u w:val="single"/>
                  <w:lang w:eastAsia="en-IN"/>
                </w:rPr>
                <w:t>Annex II</w:t>
              </w:r>
            </w:hyperlink>
            <w:r w:rsidRPr="009337A5">
              <w:rPr>
                <w:rFonts w:ascii="Arial" w:eastAsia="Times New Roman" w:hAnsi="Arial" w:cs="Arial"/>
                <w:color w:val="000000"/>
                <w:sz w:val="20"/>
                <w:szCs w:val="20"/>
                <w:lang w:eastAsia="en-IN"/>
              </w:rPr>
              <w:t>, in addition to Level I controls.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B538B19"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Additional controls include Data Loss Prevention Strategy, Anti-Phishing, VA/PT of critical applications.</w:t>
            </w:r>
          </w:p>
        </w:tc>
      </w:tr>
      <w:tr w:rsidR="007B7539" w:rsidRPr="009337A5" w14:paraId="434DB1DE"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AA31113" w14:textId="77777777" w:rsidR="007B7539" w:rsidRPr="009337A5" w:rsidRDefault="007B7539" w:rsidP="002B7054">
            <w:pPr>
              <w:spacing w:after="0"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 III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CD2E3DC"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UCBs having at least one of the criteria given below:</w:t>
            </w:r>
          </w:p>
          <w:p w14:paraId="717C6694" w14:textId="77777777" w:rsidR="007B7539" w:rsidRPr="009337A5" w:rsidRDefault="007B7539" w:rsidP="007B7539">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Direct members of CPS</w:t>
            </w:r>
          </w:p>
          <w:p w14:paraId="4C783F1D" w14:textId="77777777" w:rsidR="007B7539" w:rsidRPr="009337A5" w:rsidRDefault="007B7539" w:rsidP="007B7539">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having their own ATM Switch</w:t>
            </w:r>
          </w:p>
          <w:p w14:paraId="3C1A2569" w14:textId="77777777" w:rsidR="007B7539" w:rsidRPr="009337A5" w:rsidRDefault="007B7539" w:rsidP="007B7539">
            <w:pPr>
              <w:numPr>
                <w:ilvl w:val="0"/>
                <w:numId w:val="1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having SWIFT interface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219F9DF"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Level III controls given in </w:t>
            </w:r>
            <w:hyperlink r:id="rId78" w:anchor="AN_3" w:history="1">
              <w:r w:rsidRPr="009337A5">
                <w:rPr>
                  <w:rFonts w:ascii="Arial" w:eastAsia="Times New Roman" w:hAnsi="Arial" w:cs="Arial"/>
                  <w:color w:val="0000FF"/>
                  <w:sz w:val="20"/>
                  <w:szCs w:val="20"/>
                  <w:u w:val="single"/>
                  <w:lang w:eastAsia="en-IN"/>
                </w:rPr>
                <w:t>Annex III</w:t>
              </w:r>
            </w:hyperlink>
            <w:r w:rsidRPr="009337A5">
              <w:rPr>
                <w:rFonts w:ascii="Arial" w:eastAsia="Times New Roman" w:hAnsi="Arial" w:cs="Arial"/>
                <w:color w:val="000000"/>
                <w:sz w:val="20"/>
                <w:szCs w:val="20"/>
                <w:lang w:eastAsia="en-IN"/>
              </w:rPr>
              <w:t>, in addition to Level I and II controls.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993B9DA"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Additional controls include Advanced Real-time Threat Defence and Management, Risk based transaction monitoring</w:t>
            </w:r>
            <w:hyperlink r:id="rId79" w:anchor="F2" w:history="1">
              <w:r w:rsidRPr="009337A5">
                <w:rPr>
                  <w:rFonts w:ascii="Arial" w:eastAsia="Times New Roman" w:hAnsi="Arial" w:cs="Arial"/>
                  <w:color w:val="0000FF"/>
                  <w:sz w:val="15"/>
                  <w:szCs w:val="15"/>
                  <w:u w:val="single"/>
                  <w:vertAlign w:val="superscript"/>
                  <w:lang w:eastAsia="en-IN"/>
                </w:rPr>
                <w:t>2</w:t>
              </w:r>
            </w:hyperlink>
          </w:p>
        </w:tc>
      </w:tr>
      <w:tr w:rsidR="007B7539" w:rsidRPr="009337A5" w14:paraId="5B8C9686"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6AD6B0A" w14:textId="77777777" w:rsidR="007B7539" w:rsidRPr="009337A5" w:rsidRDefault="007B7539" w:rsidP="002B7054">
            <w:pPr>
              <w:spacing w:after="0"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Level IV</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5F02CDC"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UCBs which are members/ sub-members of CPS and satisfy at least one of the criteria given below:</w:t>
            </w:r>
          </w:p>
          <w:p w14:paraId="39F5BFAD" w14:textId="77777777" w:rsidR="007B7539" w:rsidRPr="009337A5" w:rsidRDefault="007B7539" w:rsidP="007B7539">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having their own ATM Switch </w:t>
            </w:r>
            <w:r w:rsidRPr="009337A5">
              <w:rPr>
                <w:rFonts w:ascii="Arial" w:eastAsia="Times New Roman" w:hAnsi="Arial" w:cs="Arial"/>
                <w:b/>
                <w:bCs/>
                <w:color w:val="000000"/>
                <w:sz w:val="20"/>
                <w:szCs w:val="20"/>
                <w:lang w:eastAsia="en-IN"/>
              </w:rPr>
              <w:t>and</w:t>
            </w:r>
            <w:r w:rsidRPr="009337A5">
              <w:rPr>
                <w:rFonts w:ascii="Arial" w:eastAsia="Times New Roman" w:hAnsi="Arial" w:cs="Arial"/>
                <w:color w:val="000000"/>
                <w:sz w:val="20"/>
                <w:szCs w:val="20"/>
                <w:lang w:eastAsia="en-IN"/>
              </w:rPr>
              <w:t> having SWIFT interface</w:t>
            </w:r>
          </w:p>
          <w:p w14:paraId="23C71BD4" w14:textId="77777777" w:rsidR="007B7539" w:rsidRPr="009337A5" w:rsidRDefault="007B7539" w:rsidP="007B7539">
            <w:pPr>
              <w:numPr>
                <w:ilvl w:val="0"/>
                <w:numId w:val="1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hosting data centre or providing software support to other banks on their own or through their wholly owned subsidiaries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8834E89"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Level IV controls given in </w:t>
            </w:r>
            <w:hyperlink r:id="rId80" w:anchor="AN_4" w:history="1">
              <w:r w:rsidRPr="009337A5">
                <w:rPr>
                  <w:rFonts w:ascii="Arial" w:eastAsia="Times New Roman" w:hAnsi="Arial" w:cs="Arial"/>
                  <w:color w:val="0000FF"/>
                  <w:sz w:val="20"/>
                  <w:szCs w:val="20"/>
                  <w:u w:val="single"/>
                  <w:lang w:eastAsia="en-IN"/>
                </w:rPr>
                <w:t>Annex IV</w:t>
              </w:r>
            </w:hyperlink>
            <w:r w:rsidRPr="009337A5">
              <w:rPr>
                <w:rFonts w:ascii="Arial" w:eastAsia="Times New Roman" w:hAnsi="Arial" w:cs="Arial"/>
                <w:color w:val="000000"/>
                <w:sz w:val="20"/>
                <w:szCs w:val="20"/>
                <w:lang w:eastAsia="en-IN"/>
              </w:rPr>
              <w:t>, in addition to Level I, II and III controls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068B24A" w14:textId="77777777" w:rsidR="007B7539" w:rsidRPr="009337A5" w:rsidRDefault="007B7539" w:rsidP="002B7054">
            <w:pPr>
              <w:spacing w:after="0"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 xml:space="preserve">Additional controls include setting up of a Cyber Security Operation </w:t>
            </w:r>
            <w:proofErr w:type="spellStart"/>
            <w:r w:rsidRPr="009337A5">
              <w:rPr>
                <w:rFonts w:ascii="Arial" w:eastAsia="Times New Roman" w:hAnsi="Arial" w:cs="Arial"/>
                <w:color w:val="000000"/>
                <w:sz w:val="20"/>
                <w:szCs w:val="20"/>
                <w:lang w:eastAsia="en-IN"/>
              </w:rPr>
              <w:t>Center</w:t>
            </w:r>
            <w:proofErr w:type="spellEnd"/>
            <w:r w:rsidRPr="009337A5">
              <w:rPr>
                <w:rFonts w:ascii="Arial" w:eastAsia="Times New Roman" w:hAnsi="Arial" w:cs="Arial"/>
                <w:color w:val="000000"/>
                <w:sz w:val="20"/>
                <w:szCs w:val="20"/>
                <w:lang w:eastAsia="en-IN"/>
              </w:rPr>
              <w:t xml:space="preserve"> (C-SOC) (either on their own or through service providers), IT and IS Governance Framework</w:t>
            </w:r>
          </w:p>
        </w:tc>
      </w:tr>
    </w:tbl>
    <w:p w14:paraId="3B77841F"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Board of Directors is ultimately responsible for the information security of the UCB and shall play a proactive role in ensuring an effective IT(Information Technology) and IS (Information Security) governance. The major role of top management involves implementing the Board approved cyber security policy, establishing necessary organisational processes for cyber security and providing necessary resources for ensuring adequate cyber security.</w:t>
      </w:r>
    </w:p>
    <w:p w14:paraId="7314733F"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UCBs shall undertake a self-assessment of the level in which they fit into, based on the criteria given in the table above and report the same to their respective RBI Regional Office, Department of Supervision within 45 days from the date of issuance of this circular.</w:t>
      </w:r>
    </w:p>
    <w:p w14:paraId="72963DDB"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All UCBs shall comply with the control requirements prescribed in </w:t>
      </w:r>
      <w:hyperlink r:id="rId81" w:anchor="AN_1" w:history="1">
        <w:r w:rsidRPr="009337A5">
          <w:rPr>
            <w:rFonts w:ascii="Arial" w:eastAsia="Times New Roman" w:hAnsi="Arial" w:cs="Arial"/>
            <w:color w:val="0000FF"/>
            <w:sz w:val="20"/>
            <w:szCs w:val="20"/>
            <w:u w:val="single"/>
            <w:lang w:eastAsia="en-IN"/>
          </w:rPr>
          <w:t>Annex I</w:t>
        </w:r>
      </w:hyperlink>
      <w:r w:rsidRPr="009337A5">
        <w:rPr>
          <w:rFonts w:ascii="Arial" w:eastAsia="Times New Roman" w:hAnsi="Arial" w:cs="Arial"/>
          <w:color w:val="000000"/>
          <w:sz w:val="20"/>
          <w:szCs w:val="20"/>
          <w:lang w:eastAsia="en-IN"/>
        </w:rPr>
        <w:t> within 3 months from the date of issuance of this circular. Similarly, Level II, III and IV UCBs are required to implement additional controls prescribed in </w:t>
      </w:r>
      <w:hyperlink r:id="rId82" w:anchor="AN_2" w:history="1">
        <w:r w:rsidRPr="009337A5">
          <w:rPr>
            <w:rFonts w:ascii="Arial" w:eastAsia="Times New Roman" w:hAnsi="Arial" w:cs="Arial"/>
            <w:color w:val="0000FF"/>
            <w:sz w:val="20"/>
            <w:szCs w:val="20"/>
            <w:u w:val="single"/>
            <w:lang w:eastAsia="en-IN"/>
          </w:rPr>
          <w:t>Annex –II</w:t>
        </w:r>
      </w:hyperlink>
      <w:r w:rsidRPr="009337A5">
        <w:rPr>
          <w:rFonts w:ascii="Arial" w:eastAsia="Times New Roman" w:hAnsi="Arial" w:cs="Arial"/>
          <w:color w:val="000000"/>
          <w:sz w:val="20"/>
          <w:szCs w:val="20"/>
          <w:lang w:eastAsia="en-IN"/>
        </w:rPr>
        <w:t>, </w:t>
      </w:r>
      <w:hyperlink r:id="rId83" w:anchor="AN_3" w:history="1">
        <w:r w:rsidRPr="009337A5">
          <w:rPr>
            <w:rFonts w:ascii="Arial" w:eastAsia="Times New Roman" w:hAnsi="Arial" w:cs="Arial"/>
            <w:color w:val="0000FF"/>
            <w:sz w:val="20"/>
            <w:szCs w:val="20"/>
            <w:u w:val="single"/>
            <w:lang w:eastAsia="en-IN"/>
          </w:rPr>
          <w:t>III</w:t>
        </w:r>
      </w:hyperlink>
      <w:r w:rsidRPr="009337A5">
        <w:rPr>
          <w:rFonts w:ascii="Arial" w:eastAsia="Times New Roman" w:hAnsi="Arial" w:cs="Arial"/>
          <w:color w:val="000000"/>
          <w:sz w:val="20"/>
          <w:szCs w:val="20"/>
          <w:lang w:eastAsia="en-IN"/>
        </w:rPr>
        <w:t> and </w:t>
      </w:r>
      <w:hyperlink r:id="rId84" w:anchor="AN_4" w:history="1">
        <w:r w:rsidRPr="009337A5">
          <w:rPr>
            <w:rFonts w:ascii="Arial" w:eastAsia="Times New Roman" w:hAnsi="Arial" w:cs="Arial"/>
            <w:color w:val="0000FF"/>
            <w:sz w:val="20"/>
            <w:szCs w:val="20"/>
            <w:u w:val="single"/>
            <w:lang w:eastAsia="en-IN"/>
          </w:rPr>
          <w:t>IV</w:t>
        </w:r>
      </w:hyperlink>
      <w:r w:rsidRPr="009337A5">
        <w:rPr>
          <w:rFonts w:ascii="Arial" w:eastAsia="Times New Roman" w:hAnsi="Arial" w:cs="Arial"/>
          <w:color w:val="000000"/>
          <w:sz w:val="20"/>
          <w:szCs w:val="20"/>
          <w:lang w:eastAsia="en-IN"/>
        </w:rPr>
        <w:t> respectively.</w:t>
      </w:r>
    </w:p>
    <w:p w14:paraId="08CFF213"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 UCBs may adopt higher level of security measures based on their own assessment of risk and capabilities. Further, if a UCB, irrespective of its asset size already has a dedicated CISO and/or governance framework as discussed in </w:t>
      </w:r>
      <w:hyperlink r:id="rId85" w:anchor="AN_4" w:history="1">
        <w:r w:rsidRPr="009337A5">
          <w:rPr>
            <w:rFonts w:ascii="Arial" w:eastAsia="Times New Roman" w:hAnsi="Arial" w:cs="Arial"/>
            <w:color w:val="0000FF"/>
            <w:sz w:val="20"/>
            <w:szCs w:val="20"/>
            <w:u w:val="single"/>
            <w:lang w:eastAsia="en-IN"/>
          </w:rPr>
          <w:t>Annex IV</w:t>
        </w:r>
      </w:hyperlink>
      <w:r w:rsidRPr="009337A5">
        <w:rPr>
          <w:rFonts w:ascii="Arial" w:eastAsia="Times New Roman" w:hAnsi="Arial" w:cs="Arial"/>
          <w:color w:val="000000"/>
          <w:sz w:val="20"/>
          <w:szCs w:val="20"/>
          <w:lang w:eastAsia="en-IN"/>
        </w:rPr>
        <w:t>, then as a matter of best practice, it is desirable that it continues with the existing governance structure.</w:t>
      </w:r>
    </w:p>
    <w:p w14:paraId="2C866B97" w14:textId="77777777" w:rsidR="007B7539" w:rsidRDefault="003F25F1" w:rsidP="007B7539">
      <w:hyperlink r:id="rId86" w:history="1">
        <w:r w:rsidR="007B7539">
          <w:rPr>
            <w:rStyle w:val="Hyperlink"/>
          </w:rPr>
          <w:t>https://rbidocs.rbi.org.in/rdocs/notification/PDFs/NOTI129BB26DEA3F5C54198BF24774E1222E61A.PDF</w:t>
        </w:r>
      </w:hyperlink>
    </w:p>
    <w:p w14:paraId="6676ED5A" w14:textId="77777777" w:rsidR="002516EE" w:rsidRDefault="002516EE"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w:t>
      </w:r>
    </w:p>
    <w:p w14:paraId="40908BC7" w14:textId="5D41FBBC" w:rsidR="007B7539" w:rsidRPr="002516EE" w:rsidRDefault="007B7539" w:rsidP="002516E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516EE">
        <w:rPr>
          <w:rFonts w:ascii="Arial" w:eastAsia="Times New Roman" w:hAnsi="Arial" w:cs="Arial"/>
          <w:b/>
          <w:bCs/>
          <w:color w:val="000000"/>
          <w:sz w:val="20"/>
          <w:szCs w:val="20"/>
          <w:lang w:eastAsia="en-IN"/>
        </w:rPr>
        <w:t>RBI/2019-20/125</w:t>
      </w:r>
      <w:r w:rsidR="002516EE" w:rsidRPr="002516EE">
        <w:rPr>
          <w:rFonts w:ascii="Arial" w:eastAsia="Times New Roman" w:hAnsi="Arial" w:cs="Arial"/>
          <w:b/>
          <w:bCs/>
          <w:color w:val="000000"/>
          <w:sz w:val="20"/>
          <w:szCs w:val="20"/>
          <w:lang w:eastAsia="en-IN"/>
        </w:rPr>
        <w:t xml:space="preserve"> </w:t>
      </w:r>
      <w:r w:rsidRPr="002516EE">
        <w:rPr>
          <w:rFonts w:ascii="Arial" w:eastAsia="Times New Roman" w:hAnsi="Arial" w:cs="Arial"/>
          <w:b/>
          <w:bCs/>
          <w:color w:val="000000"/>
          <w:sz w:val="20"/>
          <w:szCs w:val="20"/>
          <w:lang w:eastAsia="en-IN"/>
        </w:rPr>
        <w:t>DOR (PCB).BPD.Cir.No.7/13.05.000/2019-20</w:t>
      </w:r>
      <w:r w:rsidR="002516EE" w:rsidRPr="002516EE">
        <w:rPr>
          <w:rFonts w:ascii="Arial" w:eastAsia="Times New Roman" w:hAnsi="Arial" w:cs="Arial"/>
          <w:b/>
          <w:bCs/>
          <w:color w:val="000000"/>
          <w:sz w:val="20"/>
          <w:szCs w:val="20"/>
          <w:lang w:eastAsia="en-IN"/>
        </w:rPr>
        <w:t xml:space="preserve"> </w:t>
      </w:r>
      <w:r w:rsidR="002516EE" w:rsidRPr="002516EE">
        <w:rPr>
          <w:rFonts w:ascii="Arial" w:eastAsia="Times New Roman" w:hAnsi="Arial" w:cs="Arial"/>
          <w:b/>
          <w:bCs/>
          <w:color w:val="000000"/>
          <w:sz w:val="20"/>
          <w:szCs w:val="20"/>
          <w:lang w:eastAsia="en-IN"/>
        </w:rPr>
        <w:tab/>
      </w:r>
      <w:r w:rsidR="002516EE" w:rsidRPr="002516EE">
        <w:rPr>
          <w:rFonts w:ascii="Arial" w:eastAsia="Times New Roman" w:hAnsi="Arial" w:cs="Arial"/>
          <w:b/>
          <w:bCs/>
          <w:color w:val="000000"/>
          <w:sz w:val="20"/>
          <w:szCs w:val="20"/>
          <w:lang w:eastAsia="en-IN"/>
        </w:rPr>
        <w:tab/>
      </w:r>
      <w:r w:rsidRPr="002516EE">
        <w:rPr>
          <w:rFonts w:ascii="Arial" w:eastAsia="Times New Roman" w:hAnsi="Arial" w:cs="Arial"/>
          <w:b/>
          <w:bCs/>
          <w:color w:val="000000"/>
          <w:sz w:val="20"/>
          <w:szCs w:val="20"/>
          <w:lang w:eastAsia="en-IN"/>
        </w:rPr>
        <w:t>December 27, 2019</w:t>
      </w:r>
    </w:p>
    <w:p w14:paraId="044F364D" w14:textId="46981341"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Chief Executive Officer</w:t>
      </w:r>
      <w:r w:rsidR="002516EE">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All Primary (Urban) Co-operative Banks</w:t>
      </w:r>
    </w:p>
    <w:p w14:paraId="322F2647"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Reporting of Large Exposures to Central Repository of Information on Large Credits (CRILC) - UCBs</w:t>
      </w:r>
    </w:p>
    <w:p w14:paraId="55DC51A0"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paragraph 2 of the Statement on Developmental and Regulatory Policies dated December 5, 2019 on ‘Primary (Urban) Co-operative Banks - Reporting to Central Repository of Information on Large Credits (CRILC)’ (</w:t>
      </w:r>
      <w:hyperlink r:id="rId87" w:anchor="AN1" w:history="1">
        <w:r w:rsidRPr="009337A5">
          <w:rPr>
            <w:rFonts w:ascii="Arial" w:eastAsia="Times New Roman" w:hAnsi="Arial" w:cs="Arial"/>
            <w:color w:val="0000FF"/>
            <w:sz w:val="20"/>
            <w:szCs w:val="20"/>
            <w:u w:val="single"/>
            <w:lang w:eastAsia="en-IN"/>
          </w:rPr>
          <w:t>extract enclosed</w:t>
        </w:r>
      </w:hyperlink>
      <w:r w:rsidRPr="009337A5">
        <w:rPr>
          <w:rFonts w:ascii="Arial" w:eastAsia="Times New Roman" w:hAnsi="Arial" w:cs="Arial"/>
          <w:color w:val="000000"/>
          <w:sz w:val="20"/>
          <w:szCs w:val="20"/>
          <w:lang w:eastAsia="en-IN"/>
        </w:rPr>
        <w:t>).</w:t>
      </w:r>
    </w:p>
    <w:p w14:paraId="00344D2E"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 xml:space="preserve">2. It has been decided that Primary (Urban) Co-operative Banks (UCBs) having total assets of ₹500 crore and above as on 31st March of the previous financial year shall report credit information, including classification of an account as Special Mention Account (SMA), on all borrowers having aggregate exposures of ₹5 crore and above with them to Central Repository of Information on Large Credits </w:t>
      </w:r>
      <w:r w:rsidRPr="009337A5">
        <w:rPr>
          <w:rFonts w:ascii="Arial" w:eastAsia="Times New Roman" w:hAnsi="Arial" w:cs="Arial"/>
          <w:color w:val="000000"/>
          <w:sz w:val="20"/>
          <w:szCs w:val="20"/>
          <w:lang w:eastAsia="en-IN"/>
        </w:rPr>
        <w:lastRenderedPageBreak/>
        <w:t>(CRILC) maintained by the Reserve Bank. Aggregate exposure shall include all fund-based and non-fund based exposure, including investment exposure on the borrower.</w:t>
      </w:r>
    </w:p>
    <w:p w14:paraId="7181A052"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3. Special Mention Account (SMA)</w:t>
      </w:r>
    </w:p>
    <w:p w14:paraId="14F055FD"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Special Mention Account (SMA) is an account which is exhibiting signs of incipient stress resulting in the borrower defaulting in timely servicing of her debt obligations, though the account has not yet been classified as NPA as per the extant RBI guidelines. As early recognition of such accounts will enable banks to initiate timely remedial actions to prevent their potential slippages into NPAs, it is advised that UCBs having total assets of ₹500 crore and above as on 31st March of the previous financial year shall take necessary steps to classify loans/advances accounts as SMA, as under:</w:t>
      </w:r>
    </w:p>
    <w:tbl>
      <w:tblPr>
        <w:tblW w:w="3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622"/>
        <w:gridCol w:w="5136"/>
      </w:tblGrid>
      <w:tr w:rsidR="007B7539" w:rsidRPr="009337A5" w14:paraId="1A3F826F" w14:textId="77777777" w:rsidTr="002B7054">
        <w:trPr>
          <w:jc w:val="center"/>
        </w:trPr>
        <w:tc>
          <w:tcPr>
            <w:tcW w:w="1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31F97DC"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SMA Sub-categories</w:t>
            </w:r>
          </w:p>
        </w:tc>
        <w:tc>
          <w:tcPr>
            <w:tcW w:w="3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E11C1AA"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u w:val="single"/>
                <w:lang w:eastAsia="en-IN"/>
              </w:rPr>
              <w:t>Basis for classification</w:t>
            </w:r>
            <w:r w:rsidRPr="009337A5">
              <w:rPr>
                <w:rFonts w:ascii="Arial" w:eastAsia="Times New Roman" w:hAnsi="Arial" w:cs="Arial"/>
                <w:b/>
                <w:bCs/>
                <w:color w:val="000000"/>
                <w:sz w:val="20"/>
                <w:szCs w:val="20"/>
                <w:lang w:eastAsia="en-IN"/>
              </w:rPr>
              <w:br/>
              <w:t>Principal or interest payment or any other amount wholly or partially overdue for</w:t>
            </w:r>
          </w:p>
        </w:tc>
      </w:tr>
      <w:tr w:rsidR="007B7539" w:rsidRPr="009337A5" w14:paraId="746F86D8"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17B907A"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C625BFB"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1-30 days</w:t>
            </w:r>
          </w:p>
        </w:tc>
      </w:tr>
      <w:tr w:rsidR="007B7539" w:rsidRPr="009337A5" w14:paraId="204BDBE5"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595046D"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0D7C274"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31-60 days</w:t>
            </w:r>
          </w:p>
        </w:tc>
      </w:tr>
      <w:tr w:rsidR="007B7539" w:rsidRPr="009337A5" w14:paraId="52D1D1FE"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3FAE7F"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15EA7F"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61-90 days</w:t>
            </w:r>
          </w:p>
        </w:tc>
      </w:tr>
    </w:tbl>
    <w:p w14:paraId="5671DE88"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In case of revolving credit facilities like cash credit, the SMA sub-categories will be as follows:</w:t>
      </w:r>
    </w:p>
    <w:tbl>
      <w:tblPr>
        <w:tblW w:w="3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622"/>
        <w:gridCol w:w="5136"/>
      </w:tblGrid>
      <w:tr w:rsidR="007B7539" w:rsidRPr="009337A5" w14:paraId="65DF1B3D" w14:textId="77777777" w:rsidTr="002B7054">
        <w:trPr>
          <w:jc w:val="center"/>
        </w:trPr>
        <w:tc>
          <w:tcPr>
            <w:tcW w:w="1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972D867"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SMA Sub-categories</w:t>
            </w:r>
          </w:p>
        </w:tc>
        <w:tc>
          <w:tcPr>
            <w:tcW w:w="3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5E4CED1" w14:textId="77777777" w:rsidR="007B7539" w:rsidRPr="009337A5" w:rsidRDefault="007B7539" w:rsidP="002B7054">
            <w:pPr>
              <w:spacing w:after="0"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u w:val="single"/>
                <w:lang w:eastAsia="en-IN"/>
              </w:rPr>
              <w:t>Basis for classification</w:t>
            </w:r>
            <w:r w:rsidRPr="009337A5">
              <w:rPr>
                <w:rFonts w:ascii="Arial" w:eastAsia="Times New Roman" w:hAnsi="Arial" w:cs="Arial"/>
                <w:b/>
                <w:bCs/>
                <w:color w:val="000000"/>
                <w:sz w:val="20"/>
                <w:szCs w:val="20"/>
                <w:lang w:eastAsia="en-IN"/>
              </w:rPr>
              <w:br/>
              <w:t>Outstanding balance remains continuously in excess of the sanctioned limit or drawing power, whichever is lower, for a period of</w:t>
            </w:r>
          </w:p>
        </w:tc>
      </w:tr>
      <w:tr w:rsidR="007B7539" w:rsidRPr="009337A5" w14:paraId="01165344"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B24E1FB"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0FE2677"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31-60 days</w:t>
            </w:r>
          </w:p>
        </w:tc>
      </w:tr>
      <w:tr w:rsidR="007B7539" w:rsidRPr="009337A5" w14:paraId="2AD2F746" w14:textId="77777777" w:rsidTr="002B705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084F560"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SMA-2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7C63B05" w14:textId="77777777" w:rsidR="007B7539" w:rsidRPr="009337A5" w:rsidRDefault="007B7539" w:rsidP="002B7054">
            <w:pPr>
              <w:spacing w:after="0" w:line="240" w:lineRule="auto"/>
              <w:jc w:val="center"/>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61-90 days</w:t>
            </w:r>
          </w:p>
        </w:tc>
      </w:tr>
    </w:tbl>
    <w:p w14:paraId="7A6504B4"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To start with, UCBs will be required to submit CRILC Report on quarterly basis with effect from December 31, 2019. Detailed operating instructions will be issued shortly by Department of Supervision, Reserve Bank of India.</w:t>
      </w:r>
    </w:p>
    <w:p w14:paraId="10726A26"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UCBs should take utmost care about data accuracy and integrity while submitting the information /data on large credit to RBI, failing which penal action as per the provisions of the Banking Regulation Act, 1949 may be taken.</w:t>
      </w:r>
    </w:p>
    <w:p w14:paraId="293D8D06" w14:textId="77777777" w:rsidR="007B7539" w:rsidRPr="009337A5" w:rsidRDefault="003F25F1" w:rsidP="007B7539">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6E898FD5">
          <v:rect id="_x0000_i1027" style="width:0;height:.75pt" o:hrstd="t" o:hrnoshade="t" o:hr="t" fillcolor="black" stroked="f"/>
        </w:pict>
      </w:r>
    </w:p>
    <w:p w14:paraId="3957DC66" w14:textId="77777777" w:rsidR="007B7539" w:rsidRPr="009337A5" w:rsidRDefault="007B7539" w:rsidP="007B753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Extract from the fifth Bi-monthly Monetary Policy Statement, 2019-20 announced on December 05, 2019</w:t>
      </w:r>
    </w:p>
    <w:p w14:paraId="7AAEF7E3"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2. Primary (Urban) Co-operative Banks - Reporting to Central Repository of Information on Large Credits (CRILC)</w:t>
      </w:r>
    </w:p>
    <w:p w14:paraId="2568C091" w14:textId="77777777" w:rsidR="007B7539" w:rsidRPr="009337A5" w:rsidRDefault="007B7539" w:rsidP="007B753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Reserve Bank has created a Central Repository of Information on Large Credits (CRILC) of scheduled commercial banks, all India financial institutions and certain non-banking financial companies with multiple objectives, which, among others, include strengthening offsite supervision and early recognition of financial distress. With a view to building a similar database of large credits extended by primary (urban) co-operative banks (UCBs), it has been decided to bring UCBs with assets of ₹500 crores and above under the CRILC reporting framework. Detailed instructions in this regard will be issued by December 31, 2019.</w:t>
      </w:r>
    </w:p>
    <w:p w14:paraId="3EB05351" w14:textId="77777777" w:rsidR="007B7539" w:rsidRDefault="007B7539" w:rsidP="007B7539">
      <w:r>
        <w:t>------------------------</w:t>
      </w:r>
    </w:p>
    <w:p w14:paraId="27D07A26" w14:textId="77777777" w:rsidR="003F25F1" w:rsidRDefault="003F25F1" w:rsidP="00EA0F4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4FAF89A6" w14:textId="0E4C7FD3" w:rsidR="00EA0F48" w:rsidRPr="001F6041" w:rsidRDefault="00EA0F48" w:rsidP="00EA0F4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F6041">
        <w:rPr>
          <w:rFonts w:ascii="Arial" w:eastAsia="Times New Roman" w:hAnsi="Arial" w:cs="Arial"/>
          <w:b/>
          <w:bCs/>
          <w:color w:val="000000"/>
          <w:sz w:val="20"/>
          <w:szCs w:val="20"/>
          <w:lang w:eastAsia="en-IN"/>
        </w:rPr>
        <w:lastRenderedPageBreak/>
        <w:t xml:space="preserve">RBI/2019-20/37 DBR.AML.BC.No.11/14.01.001/2019-20 </w:t>
      </w:r>
      <w:r w:rsidRPr="001F6041">
        <w:rPr>
          <w:rFonts w:ascii="Arial" w:eastAsia="Times New Roman" w:hAnsi="Arial" w:cs="Arial"/>
          <w:b/>
          <w:bCs/>
          <w:color w:val="000000"/>
          <w:sz w:val="20"/>
          <w:szCs w:val="20"/>
          <w:lang w:eastAsia="en-IN"/>
        </w:rPr>
        <w:tab/>
      </w:r>
      <w:r w:rsidRPr="001F6041">
        <w:rPr>
          <w:rFonts w:ascii="Arial" w:eastAsia="Times New Roman" w:hAnsi="Arial" w:cs="Arial"/>
          <w:b/>
          <w:bCs/>
          <w:color w:val="000000"/>
          <w:sz w:val="20"/>
          <w:szCs w:val="20"/>
          <w:lang w:eastAsia="en-IN"/>
        </w:rPr>
        <w:tab/>
        <w:t>August 9, 2019</w:t>
      </w:r>
    </w:p>
    <w:p w14:paraId="1C40927A"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Chairpersons/ CEOs of all the Regulated Entities</w:t>
      </w:r>
    </w:p>
    <w:p w14:paraId="74401EBF"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Amendment to Master Direction (MD) on KYC</w:t>
      </w:r>
    </w:p>
    <w:p w14:paraId="5AE869B7"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Government of India, vide Gazette Notification G.S.R. 381(E) dated May 28, 2019, has notified amendment to the Prevention of Money-laundering (Maintenance of Records) Rules, 2005.</w:t>
      </w:r>
    </w:p>
    <w:p w14:paraId="212C73B7"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change carried out in the Master Direction in accordance with the aforementioned amendment to the PML Rules is as under:</w:t>
      </w:r>
    </w:p>
    <w:p w14:paraId="415FEBFA" w14:textId="77777777" w:rsidR="00EA0F48" w:rsidRPr="00C41483" w:rsidRDefault="00EA0F48" w:rsidP="00EA0F48">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 proviso has been added to condition (b) of Section 23 of the Master Direction to the effect that, where the individual is a prisoner in a jail, the signature or thumb print shall be affixed in presence of the officer in-charge of the jail and the said officer shall certify the same under his signature and the account shall remain operational on annual submission of certificate of proof of address issued by the officer in-charge of the jail.</w:t>
      </w:r>
    </w:p>
    <w:p w14:paraId="17ECAE04" w14:textId="77777777" w:rsidR="00EA0F48" w:rsidRPr="00C41483"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w:t>
      </w:r>
      <w:hyperlink r:id="rId88" w:tgtFrame="_blank" w:history="1">
        <w:r w:rsidRPr="00C41483">
          <w:rPr>
            <w:rFonts w:ascii="Arial" w:eastAsia="Times New Roman" w:hAnsi="Arial" w:cs="Arial"/>
            <w:color w:val="0000FF"/>
            <w:sz w:val="20"/>
            <w:szCs w:val="20"/>
            <w:u w:val="single"/>
            <w:lang w:eastAsia="en-IN"/>
          </w:rPr>
          <w:t>Master Direction on KYC dated February 25, 2016</w:t>
        </w:r>
      </w:hyperlink>
      <w:r w:rsidRPr="00C41483">
        <w:rPr>
          <w:rFonts w:ascii="Arial" w:eastAsia="Times New Roman" w:hAnsi="Arial" w:cs="Arial"/>
          <w:color w:val="000000"/>
          <w:sz w:val="20"/>
          <w:szCs w:val="20"/>
          <w:lang w:eastAsia="en-IN"/>
        </w:rPr>
        <w:t>, is hereby updated to reflect the change effected by the above amendment and shall come into force with immediate effect.</w:t>
      </w:r>
    </w:p>
    <w:p w14:paraId="6DDC7AE9" w14:textId="77777777" w:rsidR="00EA0F48" w:rsidRDefault="00EA0F48" w:rsidP="00EA0F4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7EEE10F" w14:textId="77777777" w:rsidR="002B7054" w:rsidRPr="00DF4072"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t>RBI/2019-20/39 FIDD.CO.Plan.BC.7/04.09.01/2019-20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August 13, 2019</w:t>
      </w:r>
    </w:p>
    <w:p w14:paraId="223CECB2" w14:textId="77777777" w:rsidR="002B7054" w:rsidRPr="00C41483" w:rsidRDefault="002B7054" w:rsidP="002B7054">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Chairman/ Managing Director &amp; CEOs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(Excluding Regional Rural Banks and Small Finance Banks)</w:t>
      </w:r>
    </w:p>
    <w:p w14:paraId="1651200A" w14:textId="77777777" w:rsidR="002B7054" w:rsidRPr="00C41483" w:rsidRDefault="002B7054" w:rsidP="002B7054">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Priority Sector Lending – Lending by banks to NBFCs for On-Lending</w:t>
      </w:r>
    </w:p>
    <w:p w14:paraId="4146DC06"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order to boost credit to the needy segment of borrowers, it has been decided that bank credit to registered NBFCs (other than MFIs) for on-lending will be eligible for classification as priority sector under respective categories subject to the following conditions:</w:t>
      </w:r>
    </w:p>
    <w:p w14:paraId="5673BB74" w14:textId="77777777" w:rsidR="002B7054" w:rsidRPr="00C41483" w:rsidRDefault="002B7054" w:rsidP="002B7054">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Agriculture:</w:t>
      </w:r>
      <w:r w:rsidRPr="00C41483">
        <w:rPr>
          <w:rFonts w:ascii="Arial" w:eastAsia="Times New Roman" w:hAnsi="Arial" w:cs="Arial"/>
          <w:color w:val="000000"/>
          <w:sz w:val="20"/>
          <w:szCs w:val="20"/>
          <w:lang w:eastAsia="en-IN"/>
        </w:rPr>
        <w:t> On-lending by NBFCs for ‘Term lending’ component under Agriculture will be allowed up to ₹ 10 lakh per borrower.</w:t>
      </w:r>
    </w:p>
    <w:p w14:paraId="30EB32D9" w14:textId="77777777" w:rsidR="002B7054" w:rsidRPr="00C41483" w:rsidRDefault="002B7054" w:rsidP="002B7054">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Micro &amp; Small enterprises:</w:t>
      </w:r>
      <w:r w:rsidRPr="00C41483">
        <w:rPr>
          <w:rFonts w:ascii="Arial" w:eastAsia="Times New Roman" w:hAnsi="Arial" w:cs="Arial"/>
          <w:color w:val="000000"/>
          <w:sz w:val="20"/>
          <w:szCs w:val="20"/>
          <w:lang w:eastAsia="en-IN"/>
        </w:rPr>
        <w:t> On-lending by NBFC will be allowed up to ₹ 20 lakh per borrower.</w:t>
      </w:r>
    </w:p>
    <w:p w14:paraId="4A0A8347" w14:textId="77777777" w:rsidR="002B7054" w:rsidRPr="00C41483" w:rsidRDefault="002B7054" w:rsidP="002B7054">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Housing:</w:t>
      </w:r>
      <w:r w:rsidRPr="00C41483">
        <w:rPr>
          <w:rFonts w:ascii="Arial" w:eastAsia="Times New Roman" w:hAnsi="Arial" w:cs="Arial"/>
          <w:color w:val="000000"/>
          <w:sz w:val="20"/>
          <w:szCs w:val="20"/>
          <w:lang w:eastAsia="en-IN"/>
        </w:rPr>
        <w:t> Enhancement of the existing limits for on-lending by HFCs vide para 10.5 of our Master Direction on Priority Sector lending, from ₹ 10 lakh per borrower to ₹ 20 lakh per borrower.</w:t>
      </w:r>
    </w:p>
    <w:p w14:paraId="105B0979"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Under the above on-lending model, banks can classify only the fresh loans sanctioned by NBFCs out of bank borrowings, on or after the date of issue of this circular. However, loans given by HFCs under the existing on-lending guidelines will continue to be classified under priority sector by banks.</w:t>
      </w:r>
    </w:p>
    <w:p w14:paraId="0F870FCC"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 xml:space="preserve">3. Bank credit to NBFCs for On-Lending will be allowed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a limit of five percent of individual bank’s total priority sector lending on an ongoing basis. Further, the above instructions will be valid for the current financial year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March 31, 2020 and will be reviewed thereafter. However, loans disbursed under the on-lending model will continue to be classified under Priority Sector till the date of repayment/maturity.</w:t>
      </w:r>
    </w:p>
    <w:p w14:paraId="4B75B85C"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The existing guidelines on bank loans to MFIs for on-lending as detailed in para 19 of Master Directions on Priority Sector Lending will continue to be applicable for NBFC-MFIs.</w:t>
      </w:r>
    </w:p>
    <w:p w14:paraId="7E2E848C" w14:textId="77777777" w:rsidR="002B7054" w:rsidRPr="00C41483"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5. The guidelines shall come into effect from the date of the issuance of this Circular.</w:t>
      </w:r>
    </w:p>
    <w:p w14:paraId="599FFAF9" w14:textId="77777777" w:rsidR="002B7054" w:rsidRDefault="002B7054" w:rsidP="002B7054">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696C1612" w14:textId="77777777" w:rsidR="002B7054" w:rsidRPr="00DF4072"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lastRenderedPageBreak/>
        <w:t>RBI/2019-20/66 FIDD.CO.Plan.BC.12/04.09.01/2019-20</w:t>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t>September 20, 2019</w:t>
      </w:r>
    </w:p>
    <w:p w14:paraId="729794CA" w14:textId="77777777" w:rsidR="002B7054" w:rsidRPr="002774DE"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Chairman/Managing Director &amp; CEOs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 xml:space="preserve">All </w:t>
      </w:r>
      <w:r>
        <w:rPr>
          <w:rFonts w:ascii="Arial" w:eastAsia="Times New Roman" w:hAnsi="Arial" w:cs="Arial"/>
          <w:color w:val="000000"/>
          <w:sz w:val="20"/>
          <w:szCs w:val="20"/>
          <w:lang w:eastAsia="en-IN"/>
        </w:rPr>
        <w:t>SCBs</w:t>
      </w:r>
      <w:r w:rsidRPr="002774DE">
        <w:rPr>
          <w:rFonts w:ascii="Arial" w:eastAsia="Times New Roman" w:hAnsi="Arial" w:cs="Arial"/>
          <w:color w:val="000000"/>
          <w:sz w:val="20"/>
          <w:szCs w:val="20"/>
          <w:lang w:eastAsia="en-IN"/>
        </w:rPr>
        <w:t xml:space="preserve"> including SFBs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3C340AEF" w14:textId="77777777" w:rsidR="002B7054" w:rsidRPr="002774DE"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Priority Sector Lending (PSL) – Classification of Exports under priority Sector</w:t>
      </w:r>
    </w:p>
    <w:p w14:paraId="33944EEA" w14:textId="77777777" w:rsidR="002B7054" w:rsidRPr="002774DE"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order to boost credit to export sector, it has been decided to effect following changes in para 8 of the </w:t>
      </w:r>
      <w:hyperlink r:id="rId89" w:tgtFrame="_blank" w:history="1">
        <w:r w:rsidRPr="002774DE">
          <w:rPr>
            <w:rFonts w:ascii="Arial" w:eastAsia="Times New Roman" w:hAnsi="Arial" w:cs="Arial"/>
            <w:color w:val="0000FF"/>
            <w:sz w:val="20"/>
            <w:szCs w:val="20"/>
            <w:u w:val="single"/>
            <w:lang w:eastAsia="en-IN"/>
          </w:rPr>
          <w:t>“Master Direction on Priority Sector Lending-targets and Classification” dated July 7, 2016 (updated as on December 4, 2018)</w:t>
        </w:r>
      </w:hyperlink>
      <w:r w:rsidRPr="002774DE">
        <w:rPr>
          <w:rFonts w:ascii="Arial" w:eastAsia="Times New Roman" w:hAnsi="Arial" w:cs="Arial"/>
          <w:color w:val="000000"/>
          <w:sz w:val="20"/>
          <w:szCs w:val="20"/>
          <w:lang w:eastAsia="en-IN"/>
        </w:rPr>
        <w:t> pertaining to export credit.</w:t>
      </w:r>
    </w:p>
    <w:p w14:paraId="5BA4238C" w14:textId="77777777" w:rsidR="002B7054" w:rsidRPr="002774DE" w:rsidRDefault="002B7054" w:rsidP="002B7054">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Enhance the sanctioned limit, for classification of export credit under PSL, from ₹ 250 million per borrower to ₹ 400 million per borrower.</w:t>
      </w:r>
    </w:p>
    <w:p w14:paraId="42F4A912" w14:textId="77777777" w:rsidR="002B7054" w:rsidRPr="002774DE" w:rsidRDefault="002B7054" w:rsidP="002B7054">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Remove the existing criteria of ‘units having turnover of up to ₹ 1 billion’</w:t>
      </w:r>
    </w:p>
    <w:p w14:paraId="3F06F101" w14:textId="77777777" w:rsidR="002B7054" w:rsidRPr="002774DE"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2. The existing guidelines for domestic scheduled commercial banks to classify ‘Incremental export credit over corresponding date of the preceding year, </w:t>
      </w:r>
      <w:proofErr w:type="spellStart"/>
      <w:r w:rsidRPr="002774DE">
        <w:rPr>
          <w:rFonts w:ascii="Arial" w:eastAsia="Times New Roman" w:hAnsi="Arial" w:cs="Arial"/>
          <w:color w:val="000000"/>
          <w:sz w:val="20"/>
          <w:szCs w:val="20"/>
          <w:lang w:eastAsia="en-IN"/>
        </w:rPr>
        <w:t>upto</w:t>
      </w:r>
      <w:proofErr w:type="spellEnd"/>
      <w:r w:rsidRPr="002774DE">
        <w:rPr>
          <w:rFonts w:ascii="Arial" w:eastAsia="Times New Roman" w:hAnsi="Arial" w:cs="Arial"/>
          <w:color w:val="000000"/>
          <w:sz w:val="20"/>
          <w:szCs w:val="20"/>
          <w:lang w:eastAsia="en-IN"/>
        </w:rPr>
        <w:t xml:space="preserve"> 2 per cent of ANBC or Credit Equivalent Amount of Off-Balance Sheet Exposure, whichever is higher’ under PSL will continue to be applicable subject to the criteria mentioned at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above.</w:t>
      </w:r>
    </w:p>
    <w:p w14:paraId="0858888F" w14:textId="77777777" w:rsidR="002B7054" w:rsidRPr="009607B6" w:rsidRDefault="002B7054" w:rsidP="002B7054">
      <w:pPr>
        <w:shd w:val="clear" w:color="auto" w:fill="FFFFFF"/>
        <w:spacing w:before="100" w:beforeAutospacing="1" w:after="100" w:afterAutospacing="1" w:line="240" w:lineRule="auto"/>
        <w:jc w:val="both"/>
        <w:rPr>
          <w:lang w:val="en-US"/>
        </w:rPr>
      </w:pPr>
      <w:r w:rsidRPr="002774DE">
        <w:rPr>
          <w:rFonts w:ascii="Arial" w:eastAsia="Times New Roman" w:hAnsi="Arial" w:cs="Arial"/>
          <w:color w:val="000000"/>
          <w:sz w:val="20"/>
          <w:szCs w:val="20"/>
          <w:lang w:eastAsia="en-IN"/>
        </w:rPr>
        <w:t>3. There is no change in the present instructions in respect of foreign banks.</w:t>
      </w:r>
      <w:r>
        <w:rPr>
          <w:rFonts w:ascii="Arial" w:eastAsia="Times New Roman" w:hAnsi="Arial" w:cs="Arial"/>
          <w:color w:val="000000"/>
          <w:sz w:val="20"/>
          <w:szCs w:val="20"/>
          <w:lang w:eastAsia="en-IN"/>
        </w:rPr>
        <w:t xml:space="preserve"> </w:t>
      </w:r>
    </w:p>
    <w:p w14:paraId="5243D30B" w14:textId="77777777" w:rsidR="002B7054" w:rsidRPr="003A1D26"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81F20">
        <w:rPr>
          <w:rFonts w:ascii="Arial" w:eastAsia="Times New Roman" w:hAnsi="Arial" w:cs="Arial"/>
          <w:b/>
          <w:bCs/>
          <w:color w:val="000000"/>
          <w:sz w:val="20"/>
          <w:szCs w:val="20"/>
          <w:lang w:eastAsia="en-IN"/>
        </w:rPr>
        <w:t>RBI/2019-20/130</w:t>
      </w:r>
      <w:r>
        <w:rPr>
          <w:rFonts w:ascii="Arial" w:eastAsia="Times New Roman" w:hAnsi="Arial" w:cs="Arial"/>
          <w:b/>
          <w:bCs/>
          <w:color w:val="000000"/>
          <w:sz w:val="20"/>
          <w:szCs w:val="20"/>
          <w:lang w:eastAsia="en-IN"/>
        </w:rPr>
        <w:t xml:space="preserve"> </w:t>
      </w:r>
      <w:r w:rsidRPr="00281F20">
        <w:rPr>
          <w:rFonts w:ascii="Arial" w:eastAsia="Times New Roman" w:hAnsi="Arial" w:cs="Arial"/>
          <w:b/>
          <w:bCs/>
          <w:color w:val="000000"/>
          <w:sz w:val="20"/>
          <w:szCs w:val="20"/>
          <w:lang w:eastAsia="en-IN"/>
        </w:rPr>
        <w:t>DoS.CO/CSITE/BC.4084/31.01.015/2019-20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3A1D26">
        <w:rPr>
          <w:rFonts w:ascii="Arial" w:eastAsia="Times New Roman" w:hAnsi="Arial" w:cs="Arial"/>
          <w:b/>
          <w:bCs/>
          <w:color w:val="000000"/>
          <w:sz w:val="20"/>
          <w:szCs w:val="20"/>
          <w:lang w:eastAsia="en-IN"/>
        </w:rPr>
        <w:t>December 31, 2019</w:t>
      </w:r>
    </w:p>
    <w:p w14:paraId="0F0434B3" w14:textId="77777777" w:rsidR="002B7054" w:rsidRPr="0074592F" w:rsidRDefault="002B7054" w:rsidP="002B7054">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br/>
        <w:t>The Chairman / Managing Director / Chief Executive Officer</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Scheduled Commercial Banks (excluding Regional Rural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Small Finance Banks and Payments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Primary (Urban) Co-operative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Local Area Banks and White-Label ATM Operators</w:t>
      </w:r>
    </w:p>
    <w:p w14:paraId="2F66797D" w14:textId="77777777" w:rsidR="002B7054" w:rsidRPr="0074592F" w:rsidRDefault="002B7054" w:rsidP="002B705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Cyber Security controls for Third party ATM Switch Application Service Providers</w:t>
      </w:r>
    </w:p>
    <w:p w14:paraId="094F8EAC" w14:textId="77777777" w:rsidR="002B7054" w:rsidRPr="0074592F"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Please refer to para I (8) of the Statement on Developmental and Regulatory policies of the Fifth Bi-monthly Monetary Policy Statement for 2019-20 dated December 5, 2019 (</w:t>
      </w:r>
      <w:hyperlink r:id="rId90" w:anchor="E1" w:history="1">
        <w:r w:rsidRPr="0074592F">
          <w:rPr>
            <w:rFonts w:ascii="Arial" w:eastAsia="Times New Roman" w:hAnsi="Arial" w:cs="Arial"/>
            <w:color w:val="0000FF"/>
            <w:sz w:val="20"/>
            <w:szCs w:val="20"/>
            <w:u w:val="single"/>
            <w:lang w:eastAsia="en-IN"/>
          </w:rPr>
          <w:t>extract enclosed</w:t>
        </w:r>
      </w:hyperlink>
      <w:r w:rsidRPr="0074592F">
        <w:rPr>
          <w:rFonts w:ascii="Arial" w:eastAsia="Times New Roman" w:hAnsi="Arial" w:cs="Arial"/>
          <w:color w:val="000000"/>
          <w:sz w:val="20"/>
          <w:szCs w:val="20"/>
          <w:lang w:eastAsia="en-IN"/>
        </w:rPr>
        <w:t>).</w:t>
      </w:r>
    </w:p>
    <w:p w14:paraId="4C21234B" w14:textId="77777777" w:rsidR="002B7054" w:rsidRPr="0074592F"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It is observed that a number of RBI Regulated Entities (RREs) manage their ATM Switch ecosystem through shared services of third party ATM Switch Application Service Providers (ASPs). Since these service providers also have exposure to the payment system landscape, it is felt that some cyber security controls are required to be put in place by them. In view of this, the RREs shall ensure that the contract agreement signed between them and the third party ATM Switch ASP shall necessarily mandate the third party ATM Switch ASP to comply with the cyber security controls given in the </w:t>
      </w:r>
      <w:hyperlink r:id="rId91" w:anchor="AN" w:history="1">
        <w:r w:rsidRPr="0074592F">
          <w:rPr>
            <w:rFonts w:ascii="Arial" w:eastAsia="Times New Roman" w:hAnsi="Arial" w:cs="Arial"/>
            <w:color w:val="0000FF"/>
            <w:sz w:val="20"/>
            <w:szCs w:val="20"/>
            <w:u w:val="single"/>
            <w:lang w:eastAsia="en-IN"/>
          </w:rPr>
          <w:t>Annex</w:t>
        </w:r>
      </w:hyperlink>
      <w:r w:rsidRPr="0074592F">
        <w:rPr>
          <w:rFonts w:ascii="Arial" w:eastAsia="Times New Roman" w:hAnsi="Arial" w:cs="Arial"/>
          <w:color w:val="000000"/>
          <w:sz w:val="20"/>
          <w:szCs w:val="20"/>
          <w:lang w:eastAsia="en-IN"/>
        </w:rPr>
        <w:t> on an ongoing basis and to provide access to the RBI for on-site/off-site supervision. To this effect, the contract agreements shall be amended at the earliest or at the time of renewal, in any case not later than March 31, 2020. The list of prescribed controls is indicative but not exhaustive. It may be mentioned that these controls are applicable to the ASPs limited to the IT ecosystem (such as physical infrastructure, hardware, software, reconciliation system, network interfaces, security solutions, hardware security module, middleware, associated people, processes, systems, data, information, etc.,) providing ATM switch services as well as any other type of payment system related services to the RREs.</w:t>
      </w:r>
    </w:p>
    <w:p w14:paraId="2E53C0AD" w14:textId="77777777" w:rsidR="002B7054" w:rsidRPr="0074592F" w:rsidRDefault="002B7054" w:rsidP="002B705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The regulatory instructions issued from time to time in terms of circulars/advisories/alerts, as applicable to the ATM switch ecosystem shall be shared with the ASPs for necessary compliance.</w:t>
      </w:r>
    </w:p>
    <w:p w14:paraId="5E136AD0" w14:textId="77777777" w:rsidR="002B7054" w:rsidRDefault="003F25F1" w:rsidP="002B7054">
      <w:hyperlink r:id="rId92" w:history="1">
        <w:r w:rsidR="002B7054">
          <w:rPr>
            <w:rStyle w:val="Hyperlink"/>
          </w:rPr>
          <w:t>https://rbidocs.rbi.org.in/rdocs/notification/PDFs/NT13060CC89309DEC4BFB8B7CBC33FAA05FE5.PDF</w:t>
        </w:r>
      </w:hyperlink>
    </w:p>
    <w:p w14:paraId="29F58FB8" w14:textId="77777777" w:rsidR="002B7054" w:rsidRDefault="002B7054" w:rsidP="002B7054">
      <w:r>
        <w:t>---------------------</w:t>
      </w:r>
    </w:p>
    <w:p w14:paraId="79B2B65C" w14:textId="77777777" w:rsidR="00534A4E" w:rsidRPr="00534A4E" w:rsidRDefault="00534A4E">
      <w:pPr>
        <w:rPr>
          <w:lang w:val="en-US"/>
        </w:rPr>
      </w:pPr>
    </w:p>
    <w:sectPr w:rsidR="00534A4E" w:rsidRPr="00534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4C61"/>
    <w:multiLevelType w:val="multilevel"/>
    <w:tmpl w:val="BAD6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E2B23"/>
    <w:multiLevelType w:val="multilevel"/>
    <w:tmpl w:val="2BAE03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AB41B09"/>
    <w:multiLevelType w:val="multilevel"/>
    <w:tmpl w:val="B766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7660C"/>
    <w:multiLevelType w:val="multilevel"/>
    <w:tmpl w:val="596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85460"/>
    <w:multiLevelType w:val="multilevel"/>
    <w:tmpl w:val="3B9C2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3B0C85"/>
    <w:multiLevelType w:val="multilevel"/>
    <w:tmpl w:val="DFEE2F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E724E9E"/>
    <w:multiLevelType w:val="multilevel"/>
    <w:tmpl w:val="940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F07EE"/>
    <w:multiLevelType w:val="multilevel"/>
    <w:tmpl w:val="BCA477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BEF59D6"/>
    <w:multiLevelType w:val="multilevel"/>
    <w:tmpl w:val="3A6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D565C"/>
    <w:multiLevelType w:val="multilevel"/>
    <w:tmpl w:val="9C7CE4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69B92443"/>
    <w:multiLevelType w:val="multilevel"/>
    <w:tmpl w:val="AC5C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DD742B"/>
    <w:multiLevelType w:val="multilevel"/>
    <w:tmpl w:val="EFD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265A3"/>
    <w:multiLevelType w:val="multilevel"/>
    <w:tmpl w:val="F49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F70CE"/>
    <w:multiLevelType w:val="multilevel"/>
    <w:tmpl w:val="D9D4288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6CC52D5"/>
    <w:multiLevelType w:val="multilevel"/>
    <w:tmpl w:val="1BC0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8663EA"/>
    <w:multiLevelType w:val="multilevel"/>
    <w:tmpl w:val="8D0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5"/>
  </w:num>
  <w:num w:numId="4">
    <w:abstractNumId w:val="8"/>
  </w:num>
  <w:num w:numId="5">
    <w:abstractNumId w:val="12"/>
  </w:num>
  <w:num w:numId="6">
    <w:abstractNumId w:val="5"/>
  </w:num>
  <w:num w:numId="7">
    <w:abstractNumId w:val="13"/>
  </w:num>
  <w:num w:numId="8">
    <w:abstractNumId w:val="1"/>
  </w:num>
  <w:num w:numId="9">
    <w:abstractNumId w:val="14"/>
  </w:num>
  <w:num w:numId="10">
    <w:abstractNumId w:val="4"/>
  </w:num>
  <w:num w:numId="11">
    <w:abstractNumId w:val="11"/>
  </w:num>
  <w:num w:numId="12">
    <w:abstractNumId w:val="3"/>
  </w:num>
  <w:num w:numId="13">
    <w:abstractNumId w:val="10"/>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4E"/>
    <w:rsid w:val="000C57D4"/>
    <w:rsid w:val="001644C1"/>
    <w:rsid w:val="002516EE"/>
    <w:rsid w:val="002B7054"/>
    <w:rsid w:val="00375839"/>
    <w:rsid w:val="003F25F1"/>
    <w:rsid w:val="00534A4E"/>
    <w:rsid w:val="007B7539"/>
    <w:rsid w:val="007F08BE"/>
    <w:rsid w:val="00844A8F"/>
    <w:rsid w:val="00BF1BF2"/>
    <w:rsid w:val="00C30A10"/>
    <w:rsid w:val="00CC4E32"/>
    <w:rsid w:val="00D516AF"/>
    <w:rsid w:val="00E07FD2"/>
    <w:rsid w:val="00EA0F48"/>
    <w:rsid w:val="00EA59C8"/>
    <w:rsid w:val="00F72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D9C5"/>
  <w15:chartTrackingRefBased/>
  <w15:docId w15:val="{DE6D0B27-1732-4C7E-B305-2151CED3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6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1619&amp;Mode=0" TargetMode="External"/><Relationship Id="rId18" Type="http://schemas.openxmlformats.org/officeDocument/2006/relationships/hyperlink" Target="https://rbidocs.rbi.org.in/rdocs/notification/PDFs/4MC01072019506189EF9A684645AF078EAA43E6BFC5.PDF" TargetMode="External"/><Relationship Id="rId26" Type="http://schemas.openxmlformats.org/officeDocument/2006/relationships/hyperlink" Target="https://rbidocs.rbi.org.in/rdocs/content/pdfs/5MC01072019_A4.pdf" TargetMode="External"/><Relationship Id="rId39" Type="http://schemas.openxmlformats.org/officeDocument/2006/relationships/hyperlink" Target="https://rbidocs.rbi.org.in/rdocs/content/pdfs/48KCC26082019_ILL.pdf" TargetMode="External"/><Relationship Id="rId21" Type="http://schemas.openxmlformats.org/officeDocument/2006/relationships/hyperlink" Target="https://www.rbi.org.in/Scripts/NotificationUser.aspx?Id=11320&amp;Mode=0" TargetMode="External"/><Relationship Id="rId34" Type="http://schemas.openxmlformats.org/officeDocument/2006/relationships/hyperlink" Target="https://rbidocs.rbi.org.in/rdocs/content/pdfs/SHGLPR210515_AN.pdf" TargetMode="External"/><Relationship Id="rId42" Type="http://schemas.openxmlformats.org/officeDocument/2006/relationships/hyperlink" Target="mailto:fsdco@rbi.org.in" TargetMode="External"/><Relationship Id="rId47" Type="http://schemas.openxmlformats.org/officeDocument/2006/relationships/hyperlink" Target="https://rbi.org.in/Scripts/NotificationUser.aspx?Id=7511&amp;Mode=0" TargetMode="External"/><Relationship Id="rId50" Type="http://schemas.openxmlformats.org/officeDocument/2006/relationships/hyperlink" Target="https://rbi.org.in/Scripts/NotificationUser.aspx?Id=9170&amp;Mode=0" TargetMode="External"/><Relationship Id="rId55" Type="http://schemas.openxmlformats.org/officeDocument/2006/relationships/hyperlink" Target="https://rbi.org.in/Scripts/NotificationUser.aspx?Id=8431&amp;Mode=0" TargetMode="External"/><Relationship Id="rId63" Type="http://schemas.openxmlformats.org/officeDocument/2006/relationships/hyperlink" Target="https://www.rbi.org.in/Scripts/NotificationUser.aspx?Id=11718&amp;Mode=0" TargetMode="External"/><Relationship Id="rId68" Type="http://schemas.openxmlformats.org/officeDocument/2006/relationships/hyperlink" Target="https://rbidocs.rbi.org.in/rdocs/content/pdfs/NOTI130311219_AP2.pdf" TargetMode="External"/><Relationship Id="rId76" Type="http://schemas.openxmlformats.org/officeDocument/2006/relationships/hyperlink" Target="https://www.rbi.org.in/Scripts/NotificationUser.aspx?Id=11772&amp;Mode=0" TargetMode="External"/><Relationship Id="rId84" Type="http://schemas.openxmlformats.org/officeDocument/2006/relationships/hyperlink" Target="https://www.rbi.org.in/Scripts/NotificationUser.aspx?Id=11772&amp;Mode=0" TargetMode="External"/><Relationship Id="rId89" Type="http://schemas.openxmlformats.org/officeDocument/2006/relationships/hyperlink" Target="https://www.rbi.org.in/Scripts/BS_ViewMasDirections.aspx?id=10497" TargetMode="External"/><Relationship Id="rId7" Type="http://schemas.openxmlformats.org/officeDocument/2006/relationships/hyperlink" Target="https://rbidocs.rbi.org.in/rdocs/notification/PDFs/10MCA66C09ECD99148DF8ABF4C39E7901BFE.PDF" TargetMode="External"/><Relationship Id="rId71" Type="http://schemas.openxmlformats.org/officeDocument/2006/relationships/hyperlink" Target="https://www.rbi.org.in/Scripts/NotificationUser.aspx?Id=11774&amp;Mode=0" TargetMode="External"/><Relationship Id="rId92" Type="http://schemas.openxmlformats.org/officeDocument/2006/relationships/hyperlink" Target="https://rbidocs.rbi.org.in/rdocs/notification/PDFs/NT13060CC89309DEC4BFB8B7CBC33FAA05FE5.PDF" TargetMode="External"/><Relationship Id="rId2" Type="http://schemas.openxmlformats.org/officeDocument/2006/relationships/numbering" Target="numbering.xml"/><Relationship Id="rId16" Type="http://schemas.openxmlformats.org/officeDocument/2006/relationships/hyperlink" Target="http://rbidocs.rbi.org.in/rdocs/content/pdfs/4MC01072019_AN2.pdf" TargetMode="External"/><Relationship Id="rId29" Type="http://schemas.openxmlformats.org/officeDocument/2006/relationships/hyperlink" Target="https://rbidocs.rbi.org.in/rdocs/notification/PDFs/5MC5CDD3CB9C56943709BAC0EADCC2D810F.PDF" TargetMode="External"/><Relationship Id="rId11" Type="http://schemas.openxmlformats.org/officeDocument/2006/relationships/hyperlink" Target="https://www.rbi.org.in/Scripts/NotificationUser.aspx?Id=11619&amp;Mode=0" TargetMode="External"/><Relationship Id="rId24" Type="http://schemas.openxmlformats.org/officeDocument/2006/relationships/hyperlink" Target="https://www.rbi.org.in/" TargetMode="External"/><Relationship Id="rId32" Type="http://schemas.openxmlformats.org/officeDocument/2006/relationships/hyperlink" Target="https://www.rbi.org.in/Scripts/NotificationUser.aspx?Id=10869&amp;Mode=0" TargetMode="External"/><Relationship Id="rId37" Type="http://schemas.openxmlformats.org/officeDocument/2006/relationships/hyperlink" Target="https://rbidocs.rbi.org.in/rdocs/notification/PDFs/08MC37FC72FB77B5429BBC9CDA4194DD8583.PDF" TargetMode="External"/><Relationship Id="rId40" Type="http://schemas.openxmlformats.org/officeDocument/2006/relationships/hyperlink" Target="https://rbidocs.rbi.org.in/rdocs/content/pdfs/48KCC26082019_F1.pdf" TargetMode="External"/><Relationship Id="rId45" Type="http://schemas.openxmlformats.org/officeDocument/2006/relationships/hyperlink" Target="https://www.rbi.org.in/Scripts/BS_ViewMasDirections.aspx?id=11566" TargetMode="External"/><Relationship Id="rId53" Type="http://schemas.openxmlformats.org/officeDocument/2006/relationships/hyperlink" Target="https://rbi.org.in/Scripts/NotificationUser.aspx?Id=7519&amp;Mode=0" TargetMode="External"/><Relationship Id="rId58" Type="http://schemas.openxmlformats.org/officeDocument/2006/relationships/hyperlink" Target="https://www.rbi.org.in/Scripts/NotificationUser.aspx?Id=11743&amp;Mode=0" TargetMode="External"/><Relationship Id="rId66" Type="http://schemas.openxmlformats.org/officeDocument/2006/relationships/hyperlink" Target="https://www.rbi.org.in/Scripts/NotificationUser.aspx?Id=11774&amp;Mode=0" TargetMode="External"/><Relationship Id="rId74" Type="http://schemas.openxmlformats.org/officeDocument/2006/relationships/hyperlink" Target="https://www.rbi.org.in/Scripts/NotificationUser.aspx?Id=11397&amp;Mode=0" TargetMode="External"/><Relationship Id="rId79" Type="http://schemas.openxmlformats.org/officeDocument/2006/relationships/hyperlink" Target="https://www.rbi.org.in/Scripts/NotificationUser.aspx?Id=11772&amp;Mode=0" TargetMode="External"/><Relationship Id="rId87" Type="http://schemas.openxmlformats.org/officeDocument/2006/relationships/hyperlink" Target="https://www.rbi.org.in/Scripts/NotificationUser.aspx?Id=11768&amp;Mode=0" TargetMode="External"/><Relationship Id="rId5" Type="http://schemas.openxmlformats.org/officeDocument/2006/relationships/webSettings" Target="webSettings.xml"/><Relationship Id="rId61" Type="http://schemas.openxmlformats.org/officeDocument/2006/relationships/hyperlink" Target="https://www.rbi.org.in/Scripts/NotificationUser.aspx?Id=9290&amp;Mode=0" TargetMode="External"/><Relationship Id="rId82" Type="http://schemas.openxmlformats.org/officeDocument/2006/relationships/hyperlink" Target="https://www.rbi.org.in/Scripts/NotificationUser.aspx?Id=11772&amp;Mode=0" TargetMode="External"/><Relationship Id="rId90" Type="http://schemas.openxmlformats.org/officeDocument/2006/relationships/hyperlink" Target="https://www.rbi.org.in/Scripts/NotificationUser.aspx?Id=11773&amp;Mode=0" TargetMode="External"/><Relationship Id="rId19" Type="http://schemas.openxmlformats.org/officeDocument/2006/relationships/hyperlink" Target="https://www.rbi.org.in/Scripts/NotificationUser.aspx?Id=11615&amp;Mode=0" TargetMode="External"/><Relationship Id="rId14" Type="http://schemas.openxmlformats.org/officeDocument/2006/relationships/hyperlink" Target="https://www.rbi.org.in/Scripts/NotificationUser.aspx?Id=8955&amp;Mode=0" TargetMode="External"/><Relationship Id="rId22" Type="http://schemas.openxmlformats.org/officeDocument/2006/relationships/hyperlink" Target="https://www.rbi.org.in/Scripts/NotificationUser.aspx?Id=11615&amp;Mode=0" TargetMode="External"/><Relationship Id="rId27" Type="http://schemas.openxmlformats.org/officeDocument/2006/relationships/hyperlink" Target="mailto:dupa-mhupa@nic.in" TargetMode="External"/><Relationship Id="rId30" Type="http://schemas.openxmlformats.org/officeDocument/2006/relationships/hyperlink" Target="https://rbi.org.in/Scripts/BS_ViewMasDirections.aspx?id=11566" TargetMode="External"/><Relationship Id="rId35" Type="http://schemas.openxmlformats.org/officeDocument/2006/relationships/hyperlink" Target="https://rbi.org.in/Scripts/NotificationUser.aspx?Id=10449&amp;Mode=0" TargetMode="External"/><Relationship Id="rId43" Type="http://schemas.openxmlformats.org/officeDocument/2006/relationships/hyperlink" Target="https://www.rbi.org.in/Scripts/NotificationUser.aspx?Id=7976&amp;Mode=0" TargetMode="External"/><Relationship Id="rId48" Type="http://schemas.openxmlformats.org/officeDocument/2006/relationships/hyperlink" Target="https://rbi.org.in/Scripts/NotificationUser.aspx?Id=7519&amp;Mode=0" TargetMode="External"/><Relationship Id="rId56" Type="http://schemas.openxmlformats.org/officeDocument/2006/relationships/hyperlink" Target="https://www.rbi.org.in/Scripts/BS_ViewMasCirculardetails.aspx?id=11619" TargetMode="External"/><Relationship Id="rId64" Type="http://schemas.openxmlformats.org/officeDocument/2006/relationships/hyperlink" Target="https://rbidocs.rbi.org.in/rdocs/notification/PDFs/NT87F0659C1C3DE14BADB0A1173AFE820478.PDF" TargetMode="External"/><Relationship Id="rId69" Type="http://schemas.openxmlformats.org/officeDocument/2006/relationships/hyperlink" Target="https://rbidocs.rbi.org.in/rdocs/content/pdfs/NOTI130311219_AP2.pdf" TargetMode="External"/><Relationship Id="rId77" Type="http://schemas.openxmlformats.org/officeDocument/2006/relationships/hyperlink" Target="https://www.rbi.org.in/Scripts/NotificationUser.aspx?Id=11772&amp;Mode=0" TargetMode="External"/><Relationship Id="rId8" Type="http://schemas.openxmlformats.org/officeDocument/2006/relationships/hyperlink" Target="https://rbi.org.in/Scripts/NotificationUser.aspx?Id=8075&amp;Mode=0" TargetMode="External"/><Relationship Id="rId51" Type="http://schemas.openxmlformats.org/officeDocument/2006/relationships/hyperlink" Target="https://rbi.org.in/Scripts/NotificationUser.aspx?Id=9276&amp;Mode=0" TargetMode="External"/><Relationship Id="rId72" Type="http://schemas.openxmlformats.org/officeDocument/2006/relationships/hyperlink" Target="https://rbidocs.rbi.org.in/rdocs/notification/PDFs/NOTI128B7ED793D4C334C00951D180DBD96F082.PDF" TargetMode="External"/><Relationship Id="rId80" Type="http://schemas.openxmlformats.org/officeDocument/2006/relationships/hyperlink" Target="https://www.rbi.org.in/Scripts/NotificationUser.aspx?Id=11772&amp;Mode=0" TargetMode="External"/><Relationship Id="rId85" Type="http://schemas.openxmlformats.org/officeDocument/2006/relationships/hyperlink" Target="https://www.rbi.org.in/Scripts/NotificationUser.aspx?Id=11772&amp;Mode=0"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bi.org.in/Scripts/NotificationUser.aspx?Id=11619&amp;Mode=0" TargetMode="External"/><Relationship Id="rId17" Type="http://schemas.openxmlformats.org/officeDocument/2006/relationships/hyperlink" Target="https://www.rbi.org.in/Scripts/NotificationUser.aspx?Id=11619&amp;Mode=0" TargetMode="External"/><Relationship Id="rId25" Type="http://schemas.openxmlformats.org/officeDocument/2006/relationships/hyperlink" Target="https://rbidocs.rbi.org.in/rdocs/content/pdfs/5MC01072019_A3.pdf" TargetMode="External"/><Relationship Id="rId33" Type="http://schemas.openxmlformats.org/officeDocument/2006/relationships/hyperlink" Target="https://www.rbi.org.in/FinancialEducation/content/04SELFHELP20042018.pdf" TargetMode="External"/><Relationship Id="rId38" Type="http://schemas.openxmlformats.org/officeDocument/2006/relationships/hyperlink" Target="https://www.rbi.org.in/Scripts/NotificationUser.aspx?Id=11462&amp;Mode=0" TargetMode="External"/><Relationship Id="rId46" Type="http://schemas.openxmlformats.org/officeDocument/2006/relationships/hyperlink" Target="https://www.rbi.org.in/Scripts/NotificationUser.aspx?Id=10225&amp;Mode=0" TargetMode="External"/><Relationship Id="rId59" Type="http://schemas.openxmlformats.org/officeDocument/2006/relationships/hyperlink" Target="https://rbidocs.rbi.org.in/rdocs/notification/PDFs/NT105C9AB07919617490AA6CBC835EE89236C.PDF" TargetMode="External"/><Relationship Id="rId67" Type="http://schemas.openxmlformats.org/officeDocument/2006/relationships/hyperlink" Target="https://rbidocs.rbi.org.in/rdocs/content/pdfs/NOTI130311219_AP1.pdf" TargetMode="External"/><Relationship Id="rId20" Type="http://schemas.openxmlformats.org/officeDocument/2006/relationships/hyperlink" Target="https://www.rbi.org.in/Scripts/NotificationUser.aspx?Id=5657&amp;Mode=0" TargetMode="External"/><Relationship Id="rId41" Type="http://schemas.openxmlformats.org/officeDocument/2006/relationships/hyperlink" Target="https://rbidocs.rbi.org.in/rdocs/content/pdfs/48KCC26082019_F2.pdf" TargetMode="External"/><Relationship Id="rId54" Type="http://schemas.openxmlformats.org/officeDocument/2006/relationships/hyperlink" Target="https://rbi.org.in/Scripts/NotificationUser.aspx?Id=8549&amp;Mode=0" TargetMode="External"/><Relationship Id="rId62" Type="http://schemas.openxmlformats.org/officeDocument/2006/relationships/hyperlink" Target="https://www.rbi.org.in/Scripts/NotificationUser.aspx?Id=8595&amp;Mode=0" TargetMode="External"/><Relationship Id="rId70" Type="http://schemas.openxmlformats.org/officeDocument/2006/relationships/hyperlink" Target="https://www.rbi.org.in/Scripts/NotificationUser.aspx?Id=11774&amp;Mode=0" TargetMode="External"/><Relationship Id="rId75" Type="http://schemas.openxmlformats.org/officeDocument/2006/relationships/hyperlink" Target="https://www.rbi.org.in/Scripts/NotificationUser.aspx?Id=11772&amp;Mode=0" TargetMode="External"/><Relationship Id="rId83" Type="http://schemas.openxmlformats.org/officeDocument/2006/relationships/hyperlink" Target="https://www.rbi.org.in/Scripts/NotificationUser.aspx?Id=11772&amp;Mode=0" TargetMode="External"/><Relationship Id="rId88" Type="http://schemas.openxmlformats.org/officeDocument/2006/relationships/hyperlink" Target="https://www.rbi.org.in/Scripts/BS_ViewMasDirections.aspx?id=11566" TargetMode="External"/><Relationship Id="rId91" Type="http://schemas.openxmlformats.org/officeDocument/2006/relationships/hyperlink" Target="https://www.rbi.org.in/Scripts/NotificationUser.aspx?Id=11773&amp;Mode=0" TargetMode="External"/><Relationship Id="rId1" Type="http://schemas.openxmlformats.org/officeDocument/2006/relationships/customXml" Target="../customXml/item1.xml"/><Relationship Id="rId6" Type="http://schemas.openxmlformats.org/officeDocument/2006/relationships/hyperlink" Target="https://www.rbi.org.in/Scripts/NotificationUser.aspx?Id=11622&amp;Mode=0" TargetMode="External"/><Relationship Id="rId15" Type="http://schemas.openxmlformats.org/officeDocument/2006/relationships/hyperlink" Target="http://rbidocs.rbi.org.in/rdocs/content/pdfs/4MC01072019_AN1.pdf" TargetMode="External"/><Relationship Id="rId23" Type="http://schemas.openxmlformats.org/officeDocument/2006/relationships/hyperlink" Target="https://www.rbi.org.in/Scripts/NotificationUser.aspx?Id=8603&amp;Mode=0" TargetMode="External"/><Relationship Id="rId28" Type="http://schemas.openxmlformats.org/officeDocument/2006/relationships/hyperlink" Target="mailto:nulmfidd@rbi.org.in" TargetMode="External"/><Relationship Id="rId36" Type="http://schemas.openxmlformats.org/officeDocument/2006/relationships/hyperlink" Target="https://rbi.org.in/Scripts/NotificationUser.aspx?Id=10227&amp;Mode=0" TargetMode="External"/><Relationship Id="rId49" Type="http://schemas.openxmlformats.org/officeDocument/2006/relationships/hyperlink" Target="https://www.rbi.org.in/Scripts/BS_ViewMasDirections.aspx?id=11566" TargetMode="External"/><Relationship Id="rId57" Type="http://schemas.openxmlformats.org/officeDocument/2006/relationships/hyperlink" Target="https://www.rbi.org.in/Scripts/NotificationUser.aspx?Id=11743&amp;Mode=0" TargetMode="External"/><Relationship Id="rId10" Type="http://schemas.openxmlformats.org/officeDocument/2006/relationships/hyperlink" Target="https://www.rbi.org.in/Scripts/NotificationUser.aspx?Id=11619&amp;Mode=0" TargetMode="External"/><Relationship Id="rId31" Type="http://schemas.openxmlformats.org/officeDocument/2006/relationships/hyperlink" Target="https://www.rbi.org.in/Scripts/NotificationUser.aspx?Id=11614&amp;Mode=0" TargetMode="External"/><Relationship Id="rId44" Type="http://schemas.openxmlformats.org/officeDocument/2006/relationships/hyperlink" Target="https://www.rbi.org.in/Scripts/NotificationUser.aspx?Id=8227&amp;Mode=0" TargetMode="External"/><Relationship Id="rId52" Type="http://schemas.openxmlformats.org/officeDocument/2006/relationships/hyperlink" Target="https://rbi.org.in/Scripts/NotificationUser.aspx?Id=7511&amp;Mode=0" TargetMode="External"/><Relationship Id="rId60" Type="http://schemas.openxmlformats.org/officeDocument/2006/relationships/hyperlink" Target="https://www.rbi.org.in/Scripts/NotificationUser.aspx?Id=3989&amp;Mode=0" TargetMode="External"/><Relationship Id="rId65" Type="http://schemas.openxmlformats.org/officeDocument/2006/relationships/hyperlink" Target="https://rbi.org.in/Scripts/BS_PressReleaseDisplay.aspx?prid=44292" TargetMode="External"/><Relationship Id="rId73" Type="http://schemas.openxmlformats.org/officeDocument/2006/relationships/hyperlink" Target="https://www.rbi.org.in/Scripts/NotificationUser.aspx?Id=11772&amp;Mode=0" TargetMode="External"/><Relationship Id="rId78" Type="http://schemas.openxmlformats.org/officeDocument/2006/relationships/hyperlink" Target="https://www.rbi.org.in/Scripts/NotificationUser.aspx?Id=11772&amp;Mode=0" TargetMode="External"/><Relationship Id="rId81" Type="http://schemas.openxmlformats.org/officeDocument/2006/relationships/hyperlink" Target="https://www.rbi.org.in/Scripts/NotificationUser.aspx?Id=11772&amp;Mode=0" TargetMode="External"/><Relationship Id="rId86" Type="http://schemas.openxmlformats.org/officeDocument/2006/relationships/hyperlink" Target="https://rbidocs.rbi.org.in/rdocs/notification/PDFs/NOTI129BB26DEA3F5C54198BF24774E1222E61A.PDF"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bi.org.in/Scripts/NotificationUser.aspx?Id=1161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9665E-6658-47F5-A853-6D412BA0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18510</Words>
  <Characters>105509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2020-05-19T01:33:00Z</dcterms:created>
  <dcterms:modified xsi:type="dcterms:W3CDTF">2020-05-19T05:17:00Z</dcterms:modified>
</cp:coreProperties>
</file>